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9FFC4" w14:textId="2A30ECD6" w:rsidR="001F311A" w:rsidRPr="00DF0793" w:rsidRDefault="001F311A">
      <w:pPr>
        <w:rPr>
          <w:sz w:val="20"/>
          <w:szCs w:val="20"/>
        </w:rPr>
      </w:pPr>
    </w:p>
    <w:p w14:paraId="31FA8617" w14:textId="5E8AB4B2" w:rsidR="00DF0793" w:rsidRPr="00D00A73" w:rsidRDefault="00DF0793" w:rsidP="00D00A73">
      <w:pPr>
        <w:jc w:val="center"/>
        <w:rPr>
          <w:b/>
          <w:bCs/>
          <w:sz w:val="20"/>
          <w:szCs w:val="20"/>
        </w:rPr>
      </w:pPr>
      <w:r w:rsidRPr="00D00A73">
        <w:rPr>
          <w:b/>
          <w:bCs/>
          <w:sz w:val="20"/>
          <w:szCs w:val="20"/>
        </w:rPr>
        <w:t xml:space="preserve">CAFIPEMF – RAPPORT DU JURY </w:t>
      </w:r>
      <w:r w:rsidR="008A6220">
        <w:rPr>
          <w:b/>
          <w:bCs/>
          <w:sz w:val="20"/>
          <w:szCs w:val="20"/>
        </w:rPr>
        <w:t>NOUVELLE</w:t>
      </w:r>
      <w:r w:rsidRPr="00D00A73">
        <w:rPr>
          <w:b/>
          <w:bCs/>
          <w:sz w:val="20"/>
          <w:szCs w:val="20"/>
        </w:rPr>
        <w:t xml:space="preserve"> RÉGLEMENTATION</w:t>
      </w:r>
    </w:p>
    <w:p w14:paraId="0C556DC4" w14:textId="138E41DD" w:rsidR="00DF0793" w:rsidRPr="00D00A73" w:rsidRDefault="00DF0793" w:rsidP="00D00A73">
      <w:pPr>
        <w:jc w:val="center"/>
        <w:rPr>
          <w:b/>
          <w:bCs/>
          <w:sz w:val="20"/>
          <w:szCs w:val="20"/>
        </w:rPr>
      </w:pPr>
      <w:r w:rsidRPr="00D00A73">
        <w:rPr>
          <w:b/>
          <w:bCs/>
          <w:sz w:val="20"/>
          <w:szCs w:val="20"/>
        </w:rPr>
        <w:t>SESSION 2021-2022</w:t>
      </w:r>
    </w:p>
    <w:p w14:paraId="5381658B" w14:textId="1CB141C1" w:rsidR="00DF0793" w:rsidRPr="00D00A73" w:rsidRDefault="00DF0793" w:rsidP="00D00A73">
      <w:pPr>
        <w:jc w:val="center"/>
        <w:rPr>
          <w:b/>
          <w:bCs/>
          <w:sz w:val="20"/>
          <w:szCs w:val="20"/>
        </w:rPr>
      </w:pPr>
      <w:r w:rsidRPr="00D00A73">
        <w:rPr>
          <w:b/>
          <w:bCs/>
          <w:sz w:val="20"/>
          <w:szCs w:val="20"/>
        </w:rPr>
        <w:t>Épreuves d’admission</w:t>
      </w:r>
    </w:p>
    <w:p w14:paraId="57344A60" w14:textId="02AC09BF" w:rsidR="00DF0793" w:rsidRDefault="00DF0793">
      <w:pPr>
        <w:rPr>
          <w:sz w:val="20"/>
          <w:szCs w:val="20"/>
        </w:rPr>
      </w:pPr>
    </w:p>
    <w:p w14:paraId="1CFE849C" w14:textId="72935D27" w:rsidR="00DF0793" w:rsidRPr="000742CE" w:rsidRDefault="003068A8">
      <w:pPr>
        <w:rPr>
          <w:sz w:val="20"/>
          <w:szCs w:val="20"/>
        </w:rPr>
      </w:pPr>
      <w:r w:rsidRPr="000742CE">
        <w:rPr>
          <w:sz w:val="20"/>
          <w:szCs w:val="20"/>
        </w:rPr>
        <w:t>•</w:t>
      </w:r>
      <w:r w:rsidR="000742CE" w:rsidRPr="000742CE">
        <w:rPr>
          <w:sz w:val="20"/>
          <w:szCs w:val="20"/>
        </w:rPr>
        <w:t xml:space="preserve"> 2</w:t>
      </w:r>
      <w:r w:rsidR="008A6220" w:rsidRPr="000742CE">
        <w:rPr>
          <w:sz w:val="20"/>
          <w:szCs w:val="20"/>
        </w:rPr>
        <w:t>9</w:t>
      </w:r>
      <w:r w:rsidR="00DF0793" w:rsidRPr="000742CE">
        <w:rPr>
          <w:sz w:val="20"/>
          <w:szCs w:val="20"/>
        </w:rPr>
        <w:t xml:space="preserve"> candidats étaient inscrits aux épreuves du CAFIPEMF </w:t>
      </w:r>
      <w:r w:rsidR="008A6220" w:rsidRPr="000742CE">
        <w:rPr>
          <w:sz w:val="20"/>
          <w:szCs w:val="20"/>
        </w:rPr>
        <w:t>nouvelle</w:t>
      </w:r>
      <w:r w:rsidR="00DF0793" w:rsidRPr="000742CE">
        <w:rPr>
          <w:sz w:val="20"/>
          <w:szCs w:val="20"/>
        </w:rPr>
        <w:t xml:space="preserve"> réglementation session 2022.</w:t>
      </w:r>
    </w:p>
    <w:p w14:paraId="4AD9BCCD" w14:textId="29BA78FF" w:rsidR="00DF0793" w:rsidRPr="000742CE" w:rsidRDefault="003068A8">
      <w:pPr>
        <w:rPr>
          <w:sz w:val="20"/>
          <w:szCs w:val="20"/>
        </w:rPr>
      </w:pPr>
      <w:r w:rsidRPr="000742CE">
        <w:rPr>
          <w:sz w:val="20"/>
          <w:szCs w:val="20"/>
        </w:rPr>
        <w:t xml:space="preserve">• </w:t>
      </w:r>
      <w:r w:rsidR="008A6220" w:rsidRPr="000742CE">
        <w:rPr>
          <w:sz w:val="20"/>
          <w:szCs w:val="20"/>
        </w:rPr>
        <w:t>29</w:t>
      </w:r>
      <w:r w:rsidR="00DF0793" w:rsidRPr="000742CE">
        <w:rPr>
          <w:sz w:val="20"/>
          <w:szCs w:val="20"/>
        </w:rPr>
        <w:t xml:space="preserve"> candidats se sont présentés aux épreuves.</w:t>
      </w:r>
    </w:p>
    <w:p w14:paraId="60A42C71" w14:textId="2690AC14" w:rsidR="00DF0793" w:rsidRPr="000742CE" w:rsidRDefault="003068A8">
      <w:pPr>
        <w:rPr>
          <w:sz w:val="20"/>
          <w:szCs w:val="20"/>
        </w:rPr>
      </w:pPr>
      <w:r w:rsidRPr="000742CE">
        <w:rPr>
          <w:sz w:val="20"/>
          <w:szCs w:val="20"/>
        </w:rPr>
        <w:t xml:space="preserve">• </w:t>
      </w:r>
      <w:r w:rsidR="008A6220" w:rsidRPr="000742CE">
        <w:rPr>
          <w:sz w:val="20"/>
          <w:szCs w:val="20"/>
        </w:rPr>
        <w:t>16</w:t>
      </w:r>
      <w:r w:rsidR="00DF0793" w:rsidRPr="000742CE">
        <w:rPr>
          <w:sz w:val="20"/>
          <w:szCs w:val="20"/>
        </w:rPr>
        <w:t xml:space="preserve"> candidats ont été admis et </w:t>
      </w:r>
      <w:r w:rsidR="008A6220" w:rsidRPr="000742CE">
        <w:rPr>
          <w:sz w:val="20"/>
          <w:szCs w:val="20"/>
        </w:rPr>
        <w:t>13</w:t>
      </w:r>
      <w:r w:rsidR="00DF0793" w:rsidRPr="000742CE">
        <w:rPr>
          <w:sz w:val="20"/>
          <w:szCs w:val="20"/>
        </w:rPr>
        <w:t xml:space="preserve"> ajournés.</w:t>
      </w:r>
    </w:p>
    <w:p w14:paraId="20D44903" w14:textId="6FB3FCD0" w:rsidR="00291FFD" w:rsidRPr="000742CE" w:rsidRDefault="00DF0793" w:rsidP="000B7E7F">
      <w:pPr>
        <w:jc w:val="both"/>
        <w:rPr>
          <w:rFonts w:cs="Calibri"/>
          <w:sz w:val="20"/>
          <w:szCs w:val="20"/>
        </w:rPr>
      </w:pPr>
      <w:r w:rsidRPr="000742CE">
        <w:rPr>
          <w:sz w:val="20"/>
          <w:szCs w:val="20"/>
        </w:rPr>
        <w:t xml:space="preserve">Avant toute analyse des résultats, il importe de rappeler aux candidats, même si leur connaissance d’ensemble est correcte, d’effectuer une lecture approfondie de l’arrêté du 20 juillet 2015 et de la circulaire n° </w:t>
      </w:r>
      <w:r w:rsidR="00141F5F" w:rsidRPr="000742CE">
        <w:rPr>
          <w:sz w:val="20"/>
          <w:szCs w:val="20"/>
        </w:rPr>
        <w:t>2021 du 19 mai 2021</w:t>
      </w:r>
      <w:r w:rsidRPr="000742CE">
        <w:rPr>
          <w:rFonts w:cs="Calibri"/>
          <w:sz w:val="20"/>
          <w:szCs w:val="20"/>
        </w:rPr>
        <w:t xml:space="preserve">. Ces textes </w:t>
      </w:r>
      <w:r w:rsidR="00291FFD" w:rsidRPr="000742CE">
        <w:rPr>
          <w:rFonts w:cs="Calibri"/>
          <w:sz w:val="20"/>
          <w:szCs w:val="20"/>
        </w:rPr>
        <w:t>fournissent le cadre institutionnel qui préside à l’évaluation de chacun.</w:t>
      </w:r>
    </w:p>
    <w:p w14:paraId="66F6BA9C" w14:textId="77777777" w:rsidR="00141F5F" w:rsidRPr="000742CE" w:rsidRDefault="00141F5F" w:rsidP="000B7E7F">
      <w:pPr>
        <w:jc w:val="both"/>
        <w:rPr>
          <w:rFonts w:cs="Calibri"/>
          <w:sz w:val="20"/>
          <w:szCs w:val="20"/>
        </w:rPr>
      </w:pPr>
    </w:p>
    <w:p w14:paraId="7609DB42" w14:textId="17264573" w:rsidR="000742CE" w:rsidRPr="00A12D42" w:rsidRDefault="00141F5F" w:rsidP="00141F5F">
      <w:pPr>
        <w:tabs>
          <w:tab w:val="left" w:pos="1843"/>
        </w:tabs>
        <w:rPr>
          <w:rFonts w:cstheme="minorHAnsi"/>
          <w:b/>
          <w:bCs/>
          <w:sz w:val="20"/>
          <w:szCs w:val="20"/>
          <w:u w:val="single"/>
        </w:rPr>
      </w:pPr>
      <w:r w:rsidRPr="000742CE">
        <w:rPr>
          <w:rFonts w:cstheme="minorHAnsi"/>
          <w:b/>
          <w:bCs/>
          <w:sz w:val="20"/>
          <w:szCs w:val="20"/>
        </w:rPr>
        <w:t xml:space="preserve"> </w:t>
      </w:r>
      <w:r w:rsidRPr="00A12D42">
        <w:rPr>
          <w:rFonts w:cstheme="minorHAnsi"/>
          <w:b/>
          <w:bCs/>
          <w:sz w:val="20"/>
          <w:szCs w:val="20"/>
          <w:u w:val="single"/>
        </w:rPr>
        <w:t>Synthèse</w:t>
      </w:r>
    </w:p>
    <w:tbl>
      <w:tblPr>
        <w:tblStyle w:val="Grilledutableau"/>
        <w:tblW w:w="0" w:type="auto"/>
        <w:tblInd w:w="-289" w:type="dxa"/>
        <w:tblLook w:val="04A0" w:firstRow="1" w:lastRow="0" w:firstColumn="1" w:lastColumn="0" w:noHBand="0" w:noVBand="1"/>
      </w:tblPr>
      <w:tblGrid>
        <w:gridCol w:w="2316"/>
        <w:gridCol w:w="1305"/>
        <w:gridCol w:w="1269"/>
        <w:gridCol w:w="1184"/>
        <w:gridCol w:w="1417"/>
        <w:gridCol w:w="1860"/>
      </w:tblGrid>
      <w:tr w:rsidR="00141F5F" w:rsidRPr="000742CE" w14:paraId="281B6BC6" w14:textId="77777777" w:rsidTr="00141F5F">
        <w:tc>
          <w:tcPr>
            <w:tcW w:w="2320" w:type="dxa"/>
          </w:tcPr>
          <w:p w14:paraId="41B5D395" w14:textId="77777777" w:rsidR="00141F5F" w:rsidRPr="000742CE" w:rsidRDefault="00141F5F" w:rsidP="000742CE">
            <w:pPr>
              <w:spacing w:line="256" w:lineRule="auto"/>
              <w:jc w:val="both"/>
              <w:rPr>
                <w:rFonts w:cstheme="minorHAnsi"/>
                <w:sz w:val="20"/>
                <w:szCs w:val="20"/>
              </w:rPr>
            </w:pPr>
          </w:p>
        </w:tc>
        <w:tc>
          <w:tcPr>
            <w:tcW w:w="1294" w:type="dxa"/>
            <w:vAlign w:val="center"/>
          </w:tcPr>
          <w:p w14:paraId="7782D5DD" w14:textId="77777777" w:rsidR="00141F5F" w:rsidRPr="000742CE" w:rsidRDefault="00141F5F" w:rsidP="00141F5F">
            <w:pPr>
              <w:spacing w:line="256" w:lineRule="auto"/>
              <w:jc w:val="center"/>
              <w:rPr>
                <w:rFonts w:cstheme="minorHAnsi"/>
                <w:b/>
                <w:bCs/>
                <w:sz w:val="20"/>
                <w:szCs w:val="20"/>
              </w:rPr>
            </w:pPr>
            <w:r w:rsidRPr="000742CE">
              <w:rPr>
                <w:rFonts w:cstheme="minorHAnsi"/>
                <w:b/>
                <w:bCs/>
                <w:sz w:val="20"/>
                <w:szCs w:val="20"/>
              </w:rPr>
              <w:t>ACADÉMIE</w:t>
            </w:r>
          </w:p>
        </w:tc>
        <w:tc>
          <w:tcPr>
            <w:tcW w:w="1270" w:type="dxa"/>
            <w:vAlign w:val="center"/>
          </w:tcPr>
          <w:p w14:paraId="71537E36" w14:textId="77777777" w:rsidR="00141F5F" w:rsidRPr="000742CE" w:rsidRDefault="00141F5F" w:rsidP="00141F5F">
            <w:pPr>
              <w:spacing w:line="256" w:lineRule="auto"/>
              <w:jc w:val="center"/>
              <w:rPr>
                <w:rFonts w:cstheme="minorHAnsi"/>
                <w:b/>
                <w:bCs/>
                <w:sz w:val="20"/>
                <w:szCs w:val="20"/>
              </w:rPr>
            </w:pPr>
            <w:r w:rsidRPr="000742CE">
              <w:rPr>
                <w:rFonts w:cstheme="minorHAnsi"/>
                <w:b/>
                <w:bCs/>
                <w:sz w:val="20"/>
                <w:szCs w:val="20"/>
              </w:rPr>
              <w:t>DOUBS</w:t>
            </w:r>
          </w:p>
        </w:tc>
        <w:tc>
          <w:tcPr>
            <w:tcW w:w="1186" w:type="dxa"/>
            <w:vAlign w:val="center"/>
          </w:tcPr>
          <w:p w14:paraId="2B1DD26F" w14:textId="77777777" w:rsidR="00141F5F" w:rsidRPr="000742CE" w:rsidRDefault="00141F5F" w:rsidP="00141F5F">
            <w:pPr>
              <w:spacing w:line="256" w:lineRule="auto"/>
              <w:jc w:val="center"/>
              <w:rPr>
                <w:rFonts w:cstheme="minorHAnsi"/>
                <w:b/>
                <w:bCs/>
                <w:sz w:val="20"/>
                <w:szCs w:val="20"/>
              </w:rPr>
            </w:pPr>
            <w:r w:rsidRPr="000742CE">
              <w:rPr>
                <w:rFonts w:cstheme="minorHAnsi"/>
                <w:b/>
                <w:bCs/>
                <w:sz w:val="20"/>
                <w:szCs w:val="20"/>
              </w:rPr>
              <w:t>JURA</w:t>
            </w:r>
          </w:p>
        </w:tc>
        <w:tc>
          <w:tcPr>
            <w:tcW w:w="1419" w:type="dxa"/>
            <w:vAlign w:val="center"/>
          </w:tcPr>
          <w:p w14:paraId="321EA6B2" w14:textId="77777777" w:rsidR="00141F5F" w:rsidRPr="000742CE" w:rsidRDefault="00141F5F" w:rsidP="00141F5F">
            <w:pPr>
              <w:spacing w:line="256" w:lineRule="auto"/>
              <w:jc w:val="center"/>
              <w:rPr>
                <w:rFonts w:cstheme="minorHAnsi"/>
                <w:b/>
                <w:bCs/>
                <w:sz w:val="20"/>
                <w:szCs w:val="20"/>
              </w:rPr>
            </w:pPr>
            <w:r w:rsidRPr="000742CE">
              <w:rPr>
                <w:rFonts w:cstheme="minorHAnsi"/>
                <w:b/>
                <w:bCs/>
                <w:sz w:val="20"/>
                <w:szCs w:val="20"/>
              </w:rPr>
              <w:t>HAUTE SAÔNE</w:t>
            </w:r>
          </w:p>
        </w:tc>
        <w:tc>
          <w:tcPr>
            <w:tcW w:w="1862" w:type="dxa"/>
            <w:vAlign w:val="center"/>
          </w:tcPr>
          <w:p w14:paraId="5CEDC13F" w14:textId="77777777" w:rsidR="00141F5F" w:rsidRPr="000742CE" w:rsidRDefault="00141F5F" w:rsidP="00141F5F">
            <w:pPr>
              <w:spacing w:line="256" w:lineRule="auto"/>
              <w:jc w:val="center"/>
              <w:rPr>
                <w:rFonts w:cstheme="minorHAnsi"/>
                <w:b/>
                <w:bCs/>
                <w:sz w:val="20"/>
                <w:szCs w:val="20"/>
              </w:rPr>
            </w:pPr>
            <w:r w:rsidRPr="000742CE">
              <w:rPr>
                <w:rFonts w:cstheme="minorHAnsi"/>
                <w:b/>
                <w:bCs/>
                <w:sz w:val="20"/>
                <w:szCs w:val="20"/>
              </w:rPr>
              <w:t>TERRITOIRE DE BELFORT</w:t>
            </w:r>
          </w:p>
        </w:tc>
      </w:tr>
      <w:tr w:rsidR="00141F5F" w:rsidRPr="000742CE" w14:paraId="03C6F968" w14:textId="77777777" w:rsidTr="00141F5F">
        <w:trPr>
          <w:trHeight w:val="537"/>
        </w:trPr>
        <w:tc>
          <w:tcPr>
            <w:tcW w:w="2320" w:type="dxa"/>
            <w:vAlign w:val="center"/>
          </w:tcPr>
          <w:p w14:paraId="3F025542" w14:textId="77777777" w:rsidR="00141F5F" w:rsidRPr="000742CE" w:rsidRDefault="00141F5F" w:rsidP="000742CE">
            <w:pPr>
              <w:spacing w:line="256" w:lineRule="auto"/>
              <w:jc w:val="both"/>
              <w:rPr>
                <w:rFonts w:cstheme="minorHAnsi"/>
                <w:sz w:val="20"/>
                <w:szCs w:val="20"/>
              </w:rPr>
            </w:pPr>
            <w:r w:rsidRPr="000742CE">
              <w:rPr>
                <w:rFonts w:cstheme="minorHAnsi"/>
                <w:sz w:val="20"/>
                <w:szCs w:val="20"/>
              </w:rPr>
              <w:t>Nombre de candidats</w:t>
            </w:r>
          </w:p>
        </w:tc>
        <w:tc>
          <w:tcPr>
            <w:tcW w:w="1294" w:type="dxa"/>
            <w:vAlign w:val="center"/>
          </w:tcPr>
          <w:p w14:paraId="578DA602" w14:textId="77777777" w:rsidR="00141F5F" w:rsidRPr="000742CE" w:rsidRDefault="00141F5F" w:rsidP="00141F5F">
            <w:pPr>
              <w:spacing w:line="256" w:lineRule="auto"/>
              <w:jc w:val="center"/>
              <w:rPr>
                <w:rFonts w:cstheme="minorHAnsi"/>
                <w:sz w:val="20"/>
                <w:szCs w:val="20"/>
              </w:rPr>
            </w:pPr>
            <w:r w:rsidRPr="000742CE">
              <w:rPr>
                <w:rFonts w:cstheme="minorHAnsi"/>
                <w:sz w:val="20"/>
                <w:szCs w:val="20"/>
              </w:rPr>
              <w:t>29</w:t>
            </w:r>
          </w:p>
        </w:tc>
        <w:tc>
          <w:tcPr>
            <w:tcW w:w="1270" w:type="dxa"/>
            <w:vAlign w:val="center"/>
          </w:tcPr>
          <w:p w14:paraId="70267D2E" w14:textId="77777777" w:rsidR="00141F5F" w:rsidRPr="000742CE" w:rsidRDefault="00141F5F" w:rsidP="00141F5F">
            <w:pPr>
              <w:spacing w:line="256" w:lineRule="auto"/>
              <w:jc w:val="center"/>
              <w:rPr>
                <w:rFonts w:cstheme="minorHAnsi"/>
                <w:sz w:val="20"/>
                <w:szCs w:val="20"/>
              </w:rPr>
            </w:pPr>
            <w:r w:rsidRPr="000742CE">
              <w:rPr>
                <w:rFonts w:cstheme="minorHAnsi"/>
                <w:sz w:val="20"/>
                <w:szCs w:val="20"/>
              </w:rPr>
              <w:t>11</w:t>
            </w:r>
          </w:p>
        </w:tc>
        <w:tc>
          <w:tcPr>
            <w:tcW w:w="1186" w:type="dxa"/>
            <w:vAlign w:val="center"/>
          </w:tcPr>
          <w:p w14:paraId="0F9D417A" w14:textId="77777777" w:rsidR="00141F5F" w:rsidRPr="000742CE" w:rsidRDefault="00141F5F" w:rsidP="00141F5F">
            <w:pPr>
              <w:spacing w:line="256" w:lineRule="auto"/>
              <w:jc w:val="center"/>
              <w:rPr>
                <w:rFonts w:cstheme="minorHAnsi"/>
                <w:sz w:val="20"/>
                <w:szCs w:val="20"/>
              </w:rPr>
            </w:pPr>
            <w:r w:rsidRPr="000742CE">
              <w:rPr>
                <w:rFonts w:cstheme="minorHAnsi"/>
                <w:sz w:val="20"/>
                <w:szCs w:val="20"/>
              </w:rPr>
              <w:t>6</w:t>
            </w:r>
          </w:p>
        </w:tc>
        <w:tc>
          <w:tcPr>
            <w:tcW w:w="1419" w:type="dxa"/>
            <w:vAlign w:val="center"/>
          </w:tcPr>
          <w:p w14:paraId="1EE5B13A" w14:textId="77777777" w:rsidR="00141F5F" w:rsidRPr="000742CE" w:rsidRDefault="00141F5F" w:rsidP="00141F5F">
            <w:pPr>
              <w:spacing w:line="256" w:lineRule="auto"/>
              <w:jc w:val="center"/>
              <w:rPr>
                <w:rFonts w:cstheme="minorHAnsi"/>
                <w:sz w:val="20"/>
                <w:szCs w:val="20"/>
              </w:rPr>
            </w:pPr>
            <w:r w:rsidRPr="000742CE">
              <w:rPr>
                <w:rFonts w:cstheme="minorHAnsi"/>
                <w:sz w:val="20"/>
                <w:szCs w:val="20"/>
              </w:rPr>
              <w:t>6</w:t>
            </w:r>
          </w:p>
        </w:tc>
        <w:tc>
          <w:tcPr>
            <w:tcW w:w="1862" w:type="dxa"/>
            <w:vAlign w:val="center"/>
          </w:tcPr>
          <w:p w14:paraId="6CCCB19E" w14:textId="77777777" w:rsidR="00141F5F" w:rsidRPr="000742CE" w:rsidRDefault="00141F5F" w:rsidP="00141F5F">
            <w:pPr>
              <w:spacing w:line="256" w:lineRule="auto"/>
              <w:jc w:val="center"/>
              <w:rPr>
                <w:rFonts w:cstheme="minorHAnsi"/>
                <w:sz w:val="20"/>
                <w:szCs w:val="20"/>
              </w:rPr>
            </w:pPr>
            <w:r w:rsidRPr="000742CE">
              <w:rPr>
                <w:rFonts w:cstheme="minorHAnsi"/>
                <w:sz w:val="20"/>
                <w:szCs w:val="20"/>
              </w:rPr>
              <w:t>6</w:t>
            </w:r>
          </w:p>
        </w:tc>
      </w:tr>
      <w:tr w:rsidR="00141F5F" w:rsidRPr="000742CE" w14:paraId="51B5135E" w14:textId="77777777" w:rsidTr="00141F5F">
        <w:trPr>
          <w:trHeight w:val="559"/>
        </w:trPr>
        <w:tc>
          <w:tcPr>
            <w:tcW w:w="2320" w:type="dxa"/>
            <w:vAlign w:val="center"/>
          </w:tcPr>
          <w:p w14:paraId="035AB9C4" w14:textId="77777777" w:rsidR="00141F5F" w:rsidRPr="000742CE" w:rsidRDefault="00141F5F" w:rsidP="000742CE">
            <w:pPr>
              <w:spacing w:line="256" w:lineRule="auto"/>
              <w:jc w:val="both"/>
              <w:rPr>
                <w:rFonts w:cstheme="minorHAnsi"/>
                <w:sz w:val="20"/>
                <w:szCs w:val="20"/>
              </w:rPr>
            </w:pPr>
            <w:r w:rsidRPr="000742CE">
              <w:rPr>
                <w:rFonts w:cstheme="minorHAnsi"/>
                <w:sz w:val="20"/>
                <w:szCs w:val="20"/>
              </w:rPr>
              <w:t>Nombre de candidats admis</w:t>
            </w:r>
          </w:p>
        </w:tc>
        <w:tc>
          <w:tcPr>
            <w:tcW w:w="1294" w:type="dxa"/>
            <w:vAlign w:val="center"/>
          </w:tcPr>
          <w:p w14:paraId="4A954368" w14:textId="77777777" w:rsidR="00141F5F" w:rsidRPr="000742CE" w:rsidRDefault="00141F5F" w:rsidP="00141F5F">
            <w:pPr>
              <w:spacing w:line="256" w:lineRule="auto"/>
              <w:jc w:val="center"/>
              <w:rPr>
                <w:rFonts w:cstheme="minorHAnsi"/>
                <w:sz w:val="20"/>
                <w:szCs w:val="20"/>
              </w:rPr>
            </w:pPr>
            <w:r w:rsidRPr="000742CE">
              <w:rPr>
                <w:rFonts w:cstheme="minorHAnsi"/>
                <w:sz w:val="20"/>
                <w:szCs w:val="20"/>
              </w:rPr>
              <w:t>16</w:t>
            </w:r>
          </w:p>
        </w:tc>
        <w:tc>
          <w:tcPr>
            <w:tcW w:w="1270" w:type="dxa"/>
            <w:vAlign w:val="center"/>
          </w:tcPr>
          <w:p w14:paraId="5B47D741" w14:textId="77777777" w:rsidR="00141F5F" w:rsidRPr="000742CE" w:rsidRDefault="00141F5F" w:rsidP="00141F5F">
            <w:pPr>
              <w:spacing w:line="256" w:lineRule="auto"/>
              <w:jc w:val="center"/>
              <w:rPr>
                <w:rFonts w:cstheme="minorHAnsi"/>
                <w:sz w:val="20"/>
                <w:szCs w:val="20"/>
              </w:rPr>
            </w:pPr>
            <w:r w:rsidRPr="000742CE">
              <w:rPr>
                <w:rFonts w:cstheme="minorHAnsi"/>
                <w:sz w:val="20"/>
                <w:szCs w:val="20"/>
              </w:rPr>
              <w:t>4</w:t>
            </w:r>
          </w:p>
        </w:tc>
        <w:tc>
          <w:tcPr>
            <w:tcW w:w="1186" w:type="dxa"/>
            <w:vAlign w:val="center"/>
          </w:tcPr>
          <w:p w14:paraId="6E19B6B9" w14:textId="77777777" w:rsidR="00141F5F" w:rsidRPr="000742CE" w:rsidRDefault="00141F5F" w:rsidP="00141F5F">
            <w:pPr>
              <w:spacing w:line="256" w:lineRule="auto"/>
              <w:jc w:val="center"/>
              <w:rPr>
                <w:rFonts w:cstheme="minorHAnsi"/>
                <w:sz w:val="20"/>
                <w:szCs w:val="20"/>
              </w:rPr>
            </w:pPr>
            <w:r w:rsidRPr="000742CE">
              <w:rPr>
                <w:rFonts w:cstheme="minorHAnsi"/>
                <w:sz w:val="20"/>
                <w:szCs w:val="20"/>
              </w:rPr>
              <w:t>4</w:t>
            </w:r>
          </w:p>
        </w:tc>
        <w:tc>
          <w:tcPr>
            <w:tcW w:w="1419" w:type="dxa"/>
            <w:vAlign w:val="center"/>
          </w:tcPr>
          <w:p w14:paraId="6B83B670" w14:textId="77777777" w:rsidR="00141F5F" w:rsidRPr="000742CE" w:rsidRDefault="00141F5F" w:rsidP="00141F5F">
            <w:pPr>
              <w:spacing w:line="256" w:lineRule="auto"/>
              <w:jc w:val="center"/>
              <w:rPr>
                <w:rFonts w:cstheme="minorHAnsi"/>
                <w:sz w:val="20"/>
                <w:szCs w:val="20"/>
              </w:rPr>
            </w:pPr>
            <w:r w:rsidRPr="000742CE">
              <w:rPr>
                <w:rFonts w:cstheme="minorHAnsi"/>
                <w:sz w:val="20"/>
                <w:szCs w:val="20"/>
              </w:rPr>
              <w:t>5</w:t>
            </w:r>
          </w:p>
        </w:tc>
        <w:tc>
          <w:tcPr>
            <w:tcW w:w="1862" w:type="dxa"/>
            <w:vAlign w:val="center"/>
          </w:tcPr>
          <w:p w14:paraId="36FAE1CC" w14:textId="77777777" w:rsidR="00141F5F" w:rsidRPr="000742CE" w:rsidRDefault="00141F5F" w:rsidP="00141F5F">
            <w:pPr>
              <w:spacing w:line="256" w:lineRule="auto"/>
              <w:jc w:val="center"/>
              <w:rPr>
                <w:rFonts w:cstheme="minorHAnsi"/>
                <w:sz w:val="20"/>
                <w:szCs w:val="20"/>
              </w:rPr>
            </w:pPr>
            <w:r w:rsidRPr="000742CE">
              <w:rPr>
                <w:rFonts w:cstheme="minorHAnsi"/>
                <w:sz w:val="20"/>
                <w:szCs w:val="20"/>
              </w:rPr>
              <w:t>3</w:t>
            </w:r>
          </w:p>
        </w:tc>
      </w:tr>
      <w:tr w:rsidR="00141F5F" w:rsidRPr="000742CE" w14:paraId="684CFC7C" w14:textId="77777777" w:rsidTr="00141F5F">
        <w:trPr>
          <w:trHeight w:val="553"/>
        </w:trPr>
        <w:tc>
          <w:tcPr>
            <w:tcW w:w="2320" w:type="dxa"/>
            <w:vAlign w:val="center"/>
          </w:tcPr>
          <w:p w14:paraId="2AB4E932" w14:textId="77777777" w:rsidR="00141F5F" w:rsidRPr="000742CE" w:rsidRDefault="00141F5F" w:rsidP="000742CE">
            <w:pPr>
              <w:spacing w:line="256" w:lineRule="auto"/>
              <w:jc w:val="both"/>
              <w:rPr>
                <w:rFonts w:cstheme="minorHAnsi"/>
                <w:sz w:val="20"/>
                <w:szCs w:val="20"/>
              </w:rPr>
            </w:pPr>
            <w:r w:rsidRPr="000742CE">
              <w:rPr>
                <w:rFonts w:cstheme="minorHAnsi"/>
                <w:sz w:val="20"/>
                <w:szCs w:val="20"/>
              </w:rPr>
              <w:t>Nombre de candidats non admis</w:t>
            </w:r>
          </w:p>
        </w:tc>
        <w:tc>
          <w:tcPr>
            <w:tcW w:w="1294" w:type="dxa"/>
            <w:vAlign w:val="center"/>
          </w:tcPr>
          <w:p w14:paraId="7962FA27" w14:textId="77777777" w:rsidR="00141F5F" w:rsidRPr="000742CE" w:rsidRDefault="00141F5F" w:rsidP="00141F5F">
            <w:pPr>
              <w:spacing w:line="256" w:lineRule="auto"/>
              <w:jc w:val="center"/>
              <w:rPr>
                <w:rFonts w:cstheme="minorHAnsi"/>
                <w:sz w:val="20"/>
                <w:szCs w:val="20"/>
              </w:rPr>
            </w:pPr>
            <w:r w:rsidRPr="000742CE">
              <w:rPr>
                <w:rFonts w:cstheme="minorHAnsi"/>
                <w:sz w:val="20"/>
                <w:szCs w:val="20"/>
              </w:rPr>
              <w:t>13</w:t>
            </w:r>
          </w:p>
        </w:tc>
        <w:tc>
          <w:tcPr>
            <w:tcW w:w="1270" w:type="dxa"/>
            <w:vAlign w:val="center"/>
          </w:tcPr>
          <w:p w14:paraId="6523A5F3" w14:textId="77777777" w:rsidR="00141F5F" w:rsidRPr="000742CE" w:rsidRDefault="00141F5F" w:rsidP="00141F5F">
            <w:pPr>
              <w:spacing w:line="256" w:lineRule="auto"/>
              <w:jc w:val="center"/>
              <w:rPr>
                <w:rFonts w:cstheme="minorHAnsi"/>
                <w:sz w:val="20"/>
                <w:szCs w:val="20"/>
              </w:rPr>
            </w:pPr>
            <w:r w:rsidRPr="000742CE">
              <w:rPr>
                <w:rFonts w:cstheme="minorHAnsi"/>
                <w:sz w:val="20"/>
                <w:szCs w:val="20"/>
              </w:rPr>
              <w:t>7</w:t>
            </w:r>
          </w:p>
        </w:tc>
        <w:tc>
          <w:tcPr>
            <w:tcW w:w="1186" w:type="dxa"/>
            <w:vAlign w:val="center"/>
          </w:tcPr>
          <w:p w14:paraId="23A237D1" w14:textId="77777777" w:rsidR="00141F5F" w:rsidRPr="000742CE" w:rsidRDefault="00141F5F" w:rsidP="00141F5F">
            <w:pPr>
              <w:spacing w:line="256" w:lineRule="auto"/>
              <w:jc w:val="center"/>
              <w:rPr>
                <w:rFonts w:cstheme="minorHAnsi"/>
                <w:sz w:val="20"/>
                <w:szCs w:val="20"/>
              </w:rPr>
            </w:pPr>
            <w:r w:rsidRPr="000742CE">
              <w:rPr>
                <w:rFonts w:cstheme="minorHAnsi"/>
                <w:sz w:val="20"/>
                <w:szCs w:val="20"/>
              </w:rPr>
              <w:t>2</w:t>
            </w:r>
          </w:p>
        </w:tc>
        <w:tc>
          <w:tcPr>
            <w:tcW w:w="1419" w:type="dxa"/>
            <w:vAlign w:val="center"/>
          </w:tcPr>
          <w:p w14:paraId="21440CEB" w14:textId="77777777" w:rsidR="00141F5F" w:rsidRPr="000742CE" w:rsidRDefault="00141F5F" w:rsidP="00141F5F">
            <w:pPr>
              <w:spacing w:line="256" w:lineRule="auto"/>
              <w:jc w:val="center"/>
              <w:rPr>
                <w:rFonts w:cstheme="minorHAnsi"/>
                <w:sz w:val="20"/>
                <w:szCs w:val="20"/>
              </w:rPr>
            </w:pPr>
            <w:r w:rsidRPr="000742CE">
              <w:rPr>
                <w:rFonts w:cstheme="minorHAnsi"/>
                <w:sz w:val="20"/>
                <w:szCs w:val="20"/>
              </w:rPr>
              <w:t>1</w:t>
            </w:r>
          </w:p>
        </w:tc>
        <w:tc>
          <w:tcPr>
            <w:tcW w:w="1862" w:type="dxa"/>
            <w:vAlign w:val="center"/>
          </w:tcPr>
          <w:p w14:paraId="4AB04B7E" w14:textId="77777777" w:rsidR="00141F5F" w:rsidRPr="000742CE" w:rsidRDefault="00141F5F" w:rsidP="00141F5F">
            <w:pPr>
              <w:spacing w:line="256" w:lineRule="auto"/>
              <w:jc w:val="center"/>
              <w:rPr>
                <w:rFonts w:cstheme="minorHAnsi"/>
                <w:sz w:val="20"/>
                <w:szCs w:val="20"/>
              </w:rPr>
            </w:pPr>
            <w:r w:rsidRPr="000742CE">
              <w:rPr>
                <w:rFonts w:cstheme="minorHAnsi"/>
                <w:sz w:val="20"/>
                <w:szCs w:val="20"/>
              </w:rPr>
              <w:t>3</w:t>
            </w:r>
          </w:p>
        </w:tc>
      </w:tr>
      <w:tr w:rsidR="00141F5F" w:rsidRPr="000742CE" w14:paraId="7EE0C119" w14:textId="77777777" w:rsidTr="00141F5F">
        <w:trPr>
          <w:trHeight w:val="973"/>
        </w:trPr>
        <w:tc>
          <w:tcPr>
            <w:tcW w:w="2320" w:type="dxa"/>
            <w:vAlign w:val="center"/>
          </w:tcPr>
          <w:p w14:paraId="6C7F0779" w14:textId="77777777" w:rsidR="00141F5F" w:rsidRPr="000742CE" w:rsidRDefault="00141F5F" w:rsidP="000742CE">
            <w:pPr>
              <w:spacing w:line="256" w:lineRule="auto"/>
              <w:jc w:val="both"/>
              <w:rPr>
                <w:rFonts w:cstheme="minorHAnsi"/>
                <w:sz w:val="20"/>
                <w:szCs w:val="20"/>
              </w:rPr>
            </w:pPr>
            <w:r w:rsidRPr="000742CE">
              <w:rPr>
                <w:rFonts w:cstheme="minorHAnsi"/>
                <w:sz w:val="20"/>
                <w:szCs w:val="20"/>
              </w:rPr>
              <w:t>Nombre de candidats conservant des notes l’année prochaine</w:t>
            </w:r>
          </w:p>
        </w:tc>
        <w:tc>
          <w:tcPr>
            <w:tcW w:w="1294" w:type="dxa"/>
            <w:vAlign w:val="center"/>
          </w:tcPr>
          <w:p w14:paraId="604E9269" w14:textId="77777777" w:rsidR="00141F5F" w:rsidRPr="000742CE" w:rsidRDefault="00141F5F" w:rsidP="00141F5F">
            <w:pPr>
              <w:spacing w:line="256" w:lineRule="auto"/>
              <w:jc w:val="center"/>
              <w:rPr>
                <w:rFonts w:cstheme="minorHAnsi"/>
                <w:sz w:val="20"/>
                <w:szCs w:val="20"/>
              </w:rPr>
            </w:pPr>
            <w:r w:rsidRPr="000742CE">
              <w:rPr>
                <w:rFonts w:cstheme="minorHAnsi"/>
                <w:sz w:val="20"/>
                <w:szCs w:val="20"/>
              </w:rPr>
              <w:t>4</w:t>
            </w:r>
          </w:p>
        </w:tc>
        <w:tc>
          <w:tcPr>
            <w:tcW w:w="1270" w:type="dxa"/>
            <w:vAlign w:val="center"/>
          </w:tcPr>
          <w:p w14:paraId="41539DE3" w14:textId="77777777" w:rsidR="00141F5F" w:rsidRPr="000742CE" w:rsidRDefault="00141F5F" w:rsidP="00141F5F">
            <w:pPr>
              <w:spacing w:line="256" w:lineRule="auto"/>
              <w:jc w:val="center"/>
              <w:rPr>
                <w:rFonts w:cstheme="minorHAnsi"/>
                <w:sz w:val="20"/>
                <w:szCs w:val="20"/>
              </w:rPr>
            </w:pPr>
            <w:r w:rsidRPr="000742CE">
              <w:rPr>
                <w:rFonts w:cstheme="minorHAnsi"/>
                <w:sz w:val="20"/>
                <w:szCs w:val="20"/>
              </w:rPr>
              <w:t>1</w:t>
            </w:r>
          </w:p>
        </w:tc>
        <w:tc>
          <w:tcPr>
            <w:tcW w:w="1186" w:type="dxa"/>
            <w:vAlign w:val="center"/>
          </w:tcPr>
          <w:p w14:paraId="3FDCDBD7" w14:textId="77777777" w:rsidR="00141F5F" w:rsidRPr="000742CE" w:rsidRDefault="00141F5F" w:rsidP="00141F5F">
            <w:pPr>
              <w:spacing w:line="256" w:lineRule="auto"/>
              <w:jc w:val="center"/>
              <w:rPr>
                <w:rFonts w:cstheme="minorHAnsi"/>
                <w:sz w:val="20"/>
                <w:szCs w:val="20"/>
              </w:rPr>
            </w:pPr>
            <w:r w:rsidRPr="000742CE">
              <w:rPr>
                <w:rFonts w:cstheme="minorHAnsi"/>
                <w:sz w:val="20"/>
                <w:szCs w:val="20"/>
              </w:rPr>
              <w:t>1</w:t>
            </w:r>
          </w:p>
        </w:tc>
        <w:tc>
          <w:tcPr>
            <w:tcW w:w="1419" w:type="dxa"/>
            <w:vAlign w:val="center"/>
          </w:tcPr>
          <w:p w14:paraId="16EAA0CC" w14:textId="77777777" w:rsidR="00141F5F" w:rsidRPr="000742CE" w:rsidRDefault="00141F5F" w:rsidP="00141F5F">
            <w:pPr>
              <w:spacing w:line="256" w:lineRule="auto"/>
              <w:jc w:val="center"/>
              <w:rPr>
                <w:rFonts w:cstheme="minorHAnsi"/>
                <w:sz w:val="20"/>
                <w:szCs w:val="20"/>
              </w:rPr>
            </w:pPr>
            <w:r w:rsidRPr="000742CE">
              <w:rPr>
                <w:rFonts w:cstheme="minorHAnsi"/>
                <w:sz w:val="20"/>
                <w:szCs w:val="20"/>
              </w:rPr>
              <w:t>1</w:t>
            </w:r>
          </w:p>
        </w:tc>
        <w:tc>
          <w:tcPr>
            <w:tcW w:w="1862" w:type="dxa"/>
            <w:vAlign w:val="center"/>
          </w:tcPr>
          <w:p w14:paraId="422775D8" w14:textId="77777777" w:rsidR="00141F5F" w:rsidRPr="000742CE" w:rsidRDefault="00141F5F" w:rsidP="00141F5F">
            <w:pPr>
              <w:spacing w:line="256" w:lineRule="auto"/>
              <w:jc w:val="center"/>
              <w:rPr>
                <w:rFonts w:cstheme="minorHAnsi"/>
                <w:sz w:val="20"/>
                <w:szCs w:val="20"/>
              </w:rPr>
            </w:pPr>
            <w:r w:rsidRPr="000742CE">
              <w:rPr>
                <w:rFonts w:cstheme="minorHAnsi"/>
                <w:sz w:val="20"/>
                <w:szCs w:val="20"/>
              </w:rPr>
              <w:t>1</w:t>
            </w:r>
          </w:p>
        </w:tc>
      </w:tr>
    </w:tbl>
    <w:p w14:paraId="0F5CCFED" w14:textId="77777777" w:rsidR="00141F5F" w:rsidRPr="000742CE" w:rsidRDefault="00141F5F" w:rsidP="00141F5F">
      <w:pPr>
        <w:spacing w:line="256" w:lineRule="auto"/>
        <w:jc w:val="center"/>
        <w:rPr>
          <w:b/>
          <w:bCs/>
          <w:sz w:val="20"/>
          <w:szCs w:val="20"/>
        </w:rPr>
      </w:pPr>
    </w:p>
    <w:p w14:paraId="6140EC9B" w14:textId="732D7114" w:rsidR="000742CE" w:rsidRPr="000742CE" w:rsidRDefault="000B7E7F" w:rsidP="00291FFD">
      <w:pPr>
        <w:rPr>
          <w:sz w:val="20"/>
          <w:szCs w:val="20"/>
        </w:rPr>
      </w:pPr>
      <w:r w:rsidRPr="000742CE">
        <w:rPr>
          <w:sz w:val="20"/>
          <w:szCs w:val="20"/>
        </w:rPr>
        <w:t>L’admission comporte 2 épreuves</w:t>
      </w:r>
      <w:r w:rsidRPr="000742CE">
        <w:rPr>
          <w:rFonts w:ascii="Calibri" w:hAnsi="Calibri" w:cs="Calibri"/>
          <w:sz w:val="20"/>
          <w:szCs w:val="20"/>
        </w:rPr>
        <w:t> </w:t>
      </w:r>
      <w:r w:rsidRPr="000742CE">
        <w:rPr>
          <w:sz w:val="20"/>
          <w:szCs w:val="20"/>
        </w:rPr>
        <w:t>:</w:t>
      </w:r>
    </w:p>
    <w:p w14:paraId="61E67E72" w14:textId="52D32757" w:rsidR="000742CE" w:rsidRPr="00652FDC" w:rsidRDefault="00141F5F" w:rsidP="000742CE">
      <w:pPr>
        <w:pStyle w:val="Paragraphedeliste"/>
        <w:numPr>
          <w:ilvl w:val="0"/>
          <w:numId w:val="4"/>
        </w:numPr>
        <w:jc w:val="both"/>
        <w:rPr>
          <w:sz w:val="20"/>
          <w:szCs w:val="20"/>
        </w:rPr>
      </w:pPr>
      <w:r w:rsidRPr="000742CE">
        <w:rPr>
          <w:sz w:val="20"/>
          <w:szCs w:val="20"/>
        </w:rPr>
        <w:t>Une première épreuve composée de 2 séquences consécutives ayant lieu le même jour. La première séquence de 60 minutes consiste en l’observation par le jury d’un temps d’enseignement en classe</w:t>
      </w:r>
      <w:r w:rsidRPr="000742CE">
        <w:rPr>
          <w:rFonts w:ascii="Calibri" w:hAnsi="Calibri" w:cs="Calibri"/>
          <w:sz w:val="20"/>
          <w:szCs w:val="20"/>
        </w:rPr>
        <w:t> </w:t>
      </w:r>
      <w:r w:rsidRPr="000742CE">
        <w:rPr>
          <w:sz w:val="20"/>
          <w:szCs w:val="20"/>
        </w:rPr>
        <w:t xml:space="preserve">; la deuxième séquence également de 60 minutes est un entretien entre le candidat et le jury, immédiatement consécutif au temps d’enseignement </w:t>
      </w:r>
      <w:r w:rsidR="00C948FE" w:rsidRPr="000742CE">
        <w:rPr>
          <w:sz w:val="20"/>
          <w:szCs w:val="20"/>
        </w:rPr>
        <w:t>observé.</w:t>
      </w:r>
    </w:p>
    <w:p w14:paraId="01963571" w14:textId="77777777" w:rsidR="00C948FE" w:rsidRPr="000742CE" w:rsidRDefault="00C948FE" w:rsidP="00C948FE">
      <w:pPr>
        <w:pStyle w:val="Paragraphedeliste"/>
        <w:jc w:val="both"/>
        <w:rPr>
          <w:sz w:val="20"/>
          <w:szCs w:val="20"/>
        </w:rPr>
      </w:pPr>
    </w:p>
    <w:p w14:paraId="238094E3" w14:textId="3080BDB1" w:rsidR="000B7E7F" w:rsidRPr="000742CE" w:rsidRDefault="00C948FE" w:rsidP="00291FFD">
      <w:pPr>
        <w:pStyle w:val="Paragraphedeliste"/>
        <w:numPr>
          <w:ilvl w:val="0"/>
          <w:numId w:val="4"/>
        </w:numPr>
        <w:jc w:val="both"/>
        <w:rPr>
          <w:sz w:val="20"/>
          <w:szCs w:val="20"/>
        </w:rPr>
      </w:pPr>
      <w:r w:rsidRPr="000742CE">
        <w:rPr>
          <w:sz w:val="20"/>
          <w:szCs w:val="20"/>
        </w:rPr>
        <w:t xml:space="preserve">Une deuxième épreuve composée de 4 séquences. La séquence 1, d’une durée de 60 minutes est une observation par le candidat, en présence du jury, d’un professeur des écoles titulaire ou stagiaire en exercice dans une classe. Elle est immédiatement suivie d’une deuxième séquence de 30 minutes d’analyse de la séance observée par le candidat avec le professeur des écoles concerné, en présence du jury. Dans un troisième temps, le candidat produit un rapport de visite sur la séance observée en séquence 1 qu’il </w:t>
      </w:r>
      <w:r w:rsidR="0088057D" w:rsidRPr="000742CE">
        <w:rPr>
          <w:sz w:val="20"/>
          <w:szCs w:val="20"/>
        </w:rPr>
        <w:t>explicitera dans un quatrième et dernier temps au jury lors d’un entretien de 60 minutes.</w:t>
      </w:r>
    </w:p>
    <w:p w14:paraId="53191710" w14:textId="77777777" w:rsidR="00652FDC" w:rsidRDefault="00652FDC" w:rsidP="008B7518">
      <w:pPr>
        <w:jc w:val="both"/>
        <w:rPr>
          <w:sz w:val="20"/>
          <w:szCs w:val="20"/>
        </w:rPr>
      </w:pPr>
    </w:p>
    <w:p w14:paraId="230DAF71" w14:textId="77777777" w:rsidR="00652FDC" w:rsidRDefault="00652FDC" w:rsidP="008B7518">
      <w:pPr>
        <w:jc w:val="both"/>
        <w:rPr>
          <w:sz w:val="20"/>
          <w:szCs w:val="20"/>
        </w:rPr>
      </w:pPr>
    </w:p>
    <w:p w14:paraId="36057EC1" w14:textId="0496AA3E" w:rsidR="00402705" w:rsidRPr="000742CE" w:rsidRDefault="0088057D" w:rsidP="008B7518">
      <w:pPr>
        <w:jc w:val="both"/>
        <w:rPr>
          <w:sz w:val="20"/>
          <w:szCs w:val="20"/>
        </w:rPr>
      </w:pPr>
      <w:r w:rsidRPr="000742CE">
        <w:rPr>
          <w:sz w:val="20"/>
          <w:szCs w:val="20"/>
        </w:rPr>
        <w:t>Les deux épreuves d’admission permettent d’évaluer les compétences attendues d’un formateur dans les 4 domaines sur lesquels se fonde la certification</w:t>
      </w:r>
      <w:r w:rsidRPr="000742CE">
        <w:rPr>
          <w:rFonts w:ascii="Calibri" w:hAnsi="Calibri" w:cs="Calibri"/>
          <w:sz w:val="20"/>
          <w:szCs w:val="20"/>
        </w:rPr>
        <w:t> </w:t>
      </w:r>
      <w:r w:rsidRPr="000742CE">
        <w:rPr>
          <w:sz w:val="20"/>
          <w:szCs w:val="20"/>
        </w:rPr>
        <w:t>:</w:t>
      </w:r>
    </w:p>
    <w:p w14:paraId="5C66DF8B" w14:textId="2FF7C009" w:rsidR="001B0009" w:rsidRPr="000742CE" w:rsidRDefault="001B0009" w:rsidP="001B0009">
      <w:pPr>
        <w:pStyle w:val="Paragraphedeliste"/>
        <w:numPr>
          <w:ilvl w:val="0"/>
          <w:numId w:val="3"/>
        </w:numPr>
        <w:rPr>
          <w:sz w:val="20"/>
          <w:szCs w:val="20"/>
        </w:rPr>
      </w:pPr>
      <w:r w:rsidRPr="000742CE">
        <w:rPr>
          <w:sz w:val="20"/>
          <w:szCs w:val="20"/>
        </w:rPr>
        <w:t>Penser, concevoir, élaborer</w:t>
      </w:r>
    </w:p>
    <w:p w14:paraId="4E8EDF07" w14:textId="72F2E947" w:rsidR="001B0009" w:rsidRPr="000742CE" w:rsidRDefault="001B0009" w:rsidP="001B0009">
      <w:pPr>
        <w:pStyle w:val="Paragraphedeliste"/>
        <w:numPr>
          <w:ilvl w:val="0"/>
          <w:numId w:val="3"/>
        </w:numPr>
        <w:rPr>
          <w:sz w:val="20"/>
          <w:szCs w:val="20"/>
        </w:rPr>
      </w:pPr>
      <w:r w:rsidRPr="000742CE">
        <w:rPr>
          <w:sz w:val="20"/>
          <w:szCs w:val="20"/>
        </w:rPr>
        <w:t>Mettre en œuvre, animer, communiquer</w:t>
      </w:r>
    </w:p>
    <w:p w14:paraId="6BEC4625" w14:textId="18106A2F" w:rsidR="001B0009" w:rsidRPr="000742CE" w:rsidRDefault="001B0009" w:rsidP="001B0009">
      <w:pPr>
        <w:pStyle w:val="Paragraphedeliste"/>
        <w:numPr>
          <w:ilvl w:val="0"/>
          <w:numId w:val="3"/>
        </w:numPr>
        <w:rPr>
          <w:sz w:val="20"/>
          <w:szCs w:val="20"/>
        </w:rPr>
      </w:pPr>
      <w:r w:rsidRPr="000742CE">
        <w:rPr>
          <w:sz w:val="20"/>
          <w:szCs w:val="20"/>
        </w:rPr>
        <w:t>Accompagner</w:t>
      </w:r>
    </w:p>
    <w:p w14:paraId="60D69E3D" w14:textId="423199E7" w:rsidR="001B0009" w:rsidRPr="000742CE" w:rsidRDefault="001B0009" w:rsidP="001B0009">
      <w:pPr>
        <w:pStyle w:val="Paragraphedeliste"/>
        <w:numPr>
          <w:ilvl w:val="0"/>
          <w:numId w:val="3"/>
        </w:numPr>
        <w:rPr>
          <w:sz w:val="20"/>
          <w:szCs w:val="20"/>
        </w:rPr>
      </w:pPr>
      <w:r w:rsidRPr="000742CE">
        <w:rPr>
          <w:sz w:val="20"/>
          <w:szCs w:val="20"/>
        </w:rPr>
        <w:t>Observer, analyser, évaluer</w:t>
      </w:r>
    </w:p>
    <w:p w14:paraId="5D29A157" w14:textId="2037822E" w:rsidR="0088057D" w:rsidRPr="000742CE" w:rsidRDefault="001B0009" w:rsidP="008B7518">
      <w:pPr>
        <w:jc w:val="both"/>
        <w:rPr>
          <w:sz w:val="20"/>
          <w:szCs w:val="20"/>
        </w:rPr>
      </w:pPr>
      <w:r w:rsidRPr="000742CE">
        <w:rPr>
          <w:sz w:val="20"/>
          <w:szCs w:val="20"/>
        </w:rPr>
        <w:t>Sont déclarés admis les candidats ayant obtenu au moins 1</w:t>
      </w:r>
      <w:r w:rsidR="0088057D" w:rsidRPr="000742CE">
        <w:rPr>
          <w:sz w:val="20"/>
          <w:szCs w:val="20"/>
        </w:rPr>
        <w:t>0</w:t>
      </w:r>
      <w:r w:rsidRPr="000742CE">
        <w:rPr>
          <w:sz w:val="20"/>
          <w:szCs w:val="20"/>
        </w:rPr>
        <w:t xml:space="preserve"> </w:t>
      </w:r>
      <w:r w:rsidR="0088057D" w:rsidRPr="000742CE">
        <w:rPr>
          <w:sz w:val="20"/>
          <w:szCs w:val="20"/>
        </w:rPr>
        <w:t>points à chaque épreuve.</w:t>
      </w:r>
    </w:p>
    <w:p w14:paraId="65424FD5" w14:textId="77777777" w:rsidR="00556D4B" w:rsidRPr="000742CE" w:rsidRDefault="00556D4B" w:rsidP="00556D4B">
      <w:pPr>
        <w:jc w:val="both"/>
        <w:rPr>
          <w:b/>
          <w:i/>
          <w:sz w:val="20"/>
          <w:szCs w:val="20"/>
        </w:rPr>
      </w:pPr>
      <w:r w:rsidRPr="000742CE">
        <w:rPr>
          <w:b/>
          <w:i/>
          <w:sz w:val="20"/>
          <w:szCs w:val="20"/>
        </w:rPr>
        <w:t>Les membres des jurys se demandent si certains candidats ont bien pris en compte le niveau d’exigence attendu pour se présenter au CAFIPEMF.</w:t>
      </w:r>
    </w:p>
    <w:p w14:paraId="3BFD864E" w14:textId="77777777" w:rsidR="00556D4B" w:rsidRPr="000742CE" w:rsidRDefault="00556D4B" w:rsidP="00556D4B">
      <w:pPr>
        <w:jc w:val="both"/>
        <w:rPr>
          <w:b/>
          <w:i/>
          <w:sz w:val="20"/>
          <w:szCs w:val="20"/>
        </w:rPr>
      </w:pPr>
      <w:r w:rsidRPr="000742CE">
        <w:rPr>
          <w:b/>
          <w:i/>
          <w:sz w:val="20"/>
          <w:szCs w:val="20"/>
        </w:rPr>
        <w:t>Les entretiens de certains candidats avec le jury montrent que les connaissances, les compétences pédagogiques et didactiques dans les domaines fondamentaux sont à approfondir.</w:t>
      </w:r>
    </w:p>
    <w:p w14:paraId="081635B5" w14:textId="3752B510" w:rsidR="00556D4B" w:rsidRPr="000742CE" w:rsidRDefault="00556D4B" w:rsidP="00556D4B">
      <w:pPr>
        <w:jc w:val="both"/>
        <w:rPr>
          <w:b/>
          <w:i/>
          <w:sz w:val="20"/>
          <w:szCs w:val="20"/>
        </w:rPr>
      </w:pPr>
      <w:r w:rsidRPr="000742CE">
        <w:rPr>
          <w:b/>
          <w:i/>
          <w:sz w:val="20"/>
          <w:szCs w:val="20"/>
        </w:rPr>
        <w:t>Les domaines de compétences les mieux réussis sont</w:t>
      </w:r>
      <w:r w:rsidRPr="000742CE">
        <w:rPr>
          <w:rFonts w:ascii="Calibri" w:hAnsi="Calibri" w:cs="Calibri"/>
          <w:b/>
          <w:i/>
          <w:sz w:val="20"/>
          <w:szCs w:val="20"/>
        </w:rPr>
        <w:t> </w:t>
      </w:r>
      <w:r w:rsidRPr="000742CE">
        <w:rPr>
          <w:b/>
          <w:i/>
          <w:sz w:val="20"/>
          <w:szCs w:val="20"/>
        </w:rPr>
        <w:t xml:space="preserve">: </w:t>
      </w:r>
      <w:r w:rsidRPr="000742CE">
        <w:rPr>
          <w:b/>
          <w:bCs/>
          <w:i/>
          <w:sz w:val="20"/>
          <w:szCs w:val="20"/>
        </w:rPr>
        <w:t>penser, concevoir, élaborer</w:t>
      </w:r>
      <w:r w:rsidR="0044091B" w:rsidRPr="000742CE">
        <w:rPr>
          <w:b/>
          <w:i/>
          <w:sz w:val="20"/>
          <w:szCs w:val="20"/>
        </w:rPr>
        <w:t xml:space="preserve"> (60 %) ainsi que </w:t>
      </w:r>
      <w:r w:rsidRPr="000742CE">
        <w:rPr>
          <w:b/>
          <w:bCs/>
          <w:i/>
          <w:sz w:val="20"/>
          <w:szCs w:val="20"/>
        </w:rPr>
        <w:t>communiquer</w:t>
      </w:r>
      <w:r w:rsidRPr="000742CE">
        <w:rPr>
          <w:b/>
          <w:i/>
          <w:sz w:val="20"/>
          <w:szCs w:val="20"/>
        </w:rPr>
        <w:t xml:space="preserve"> (40 %).</w:t>
      </w:r>
    </w:p>
    <w:p w14:paraId="4D6D33F2" w14:textId="5C90C50B" w:rsidR="0088057D" w:rsidRPr="00F22E62" w:rsidRDefault="00556D4B" w:rsidP="008B7518">
      <w:pPr>
        <w:jc w:val="both"/>
        <w:rPr>
          <w:i/>
          <w:sz w:val="20"/>
          <w:szCs w:val="20"/>
        </w:rPr>
      </w:pPr>
      <w:r w:rsidRPr="000742CE">
        <w:rPr>
          <w:b/>
          <w:i/>
          <w:sz w:val="20"/>
          <w:szCs w:val="20"/>
        </w:rPr>
        <w:t>Les domaines de compétences les moins réussis sont</w:t>
      </w:r>
      <w:r w:rsidRPr="000742CE">
        <w:rPr>
          <w:rFonts w:ascii="Calibri" w:hAnsi="Calibri" w:cs="Calibri"/>
          <w:b/>
          <w:i/>
          <w:sz w:val="20"/>
          <w:szCs w:val="20"/>
        </w:rPr>
        <w:t> </w:t>
      </w:r>
      <w:r w:rsidRPr="000742CE">
        <w:rPr>
          <w:b/>
          <w:i/>
          <w:sz w:val="20"/>
          <w:szCs w:val="20"/>
        </w:rPr>
        <w:t xml:space="preserve">: </w:t>
      </w:r>
      <w:r w:rsidRPr="000742CE">
        <w:rPr>
          <w:b/>
          <w:bCs/>
          <w:i/>
          <w:sz w:val="20"/>
          <w:szCs w:val="20"/>
        </w:rPr>
        <w:t>observer, analyser, évaluer</w:t>
      </w:r>
      <w:r w:rsidRPr="000742CE">
        <w:rPr>
          <w:b/>
          <w:i/>
          <w:sz w:val="20"/>
          <w:szCs w:val="20"/>
        </w:rPr>
        <w:t xml:space="preserve"> (62 %), </w:t>
      </w:r>
      <w:r w:rsidRPr="000742CE">
        <w:rPr>
          <w:b/>
          <w:bCs/>
          <w:i/>
          <w:sz w:val="20"/>
          <w:szCs w:val="20"/>
        </w:rPr>
        <w:t>accompagner</w:t>
      </w:r>
      <w:r w:rsidRPr="000742CE">
        <w:rPr>
          <w:b/>
          <w:i/>
          <w:sz w:val="20"/>
          <w:szCs w:val="20"/>
        </w:rPr>
        <w:t xml:space="preserve"> (30 %) et </w:t>
      </w:r>
      <w:r w:rsidRPr="000742CE">
        <w:rPr>
          <w:b/>
          <w:bCs/>
          <w:i/>
          <w:sz w:val="20"/>
          <w:szCs w:val="20"/>
        </w:rPr>
        <w:t>maîtriser les notions et les transpositions didactiques</w:t>
      </w:r>
      <w:r w:rsidRPr="000742CE">
        <w:rPr>
          <w:b/>
          <w:i/>
          <w:sz w:val="20"/>
          <w:szCs w:val="20"/>
        </w:rPr>
        <w:t xml:space="preserve"> (8 %).</w:t>
      </w:r>
    </w:p>
    <w:p w14:paraId="69E9CCA7" w14:textId="62E3E01E" w:rsidR="001B0009" w:rsidRPr="000742CE" w:rsidRDefault="001B0009" w:rsidP="008B7518">
      <w:pPr>
        <w:jc w:val="both"/>
        <w:rPr>
          <w:b/>
          <w:bCs/>
          <w:sz w:val="20"/>
          <w:szCs w:val="20"/>
        </w:rPr>
      </w:pPr>
      <w:r w:rsidRPr="000742CE">
        <w:rPr>
          <w:b/>
          <w:bCs/>
          <w:sz w:val="20"/>
          <w:szCs w:val="20"/>
        </w:rPr>
        <w:t>Première épreuve d’admission</w:t>
      </w:r>
      <w:r w:rsidRPr="000742CE">
        <w:rPr>
          <w:rFonts w:ascii="Calibri" w:hAnsi="Calibri" w:cs="Calibri"/>
          <w:b/>
          <w:bCs/>
          <w:sz w:val="20"/>
          <w:szCs w:val="20"/>
        </w:rPr>
        <w:t> </w:t>
      </w:r>
      <w:r w:rsidRPr="000742CE">
        <w:rPr>
          <w:b/>
          <w:bCs/>
          <w:sz w:val="20"/>
          <w:szCs w:val="20"/>
        </w:rPr>
        <w:t>:</w:t>
      </w:r>
      <w:r w:rsidR="0088057D" w:rsidRPr="000742CE">
        <w:rPr>
          <w:b/>
          <w:bCs/>
          <w:sz w:val="20"/>
          <w:szCs w:val="20"/>
        </w:rPr>
        <w:t xml:space="preserve"> 2 séquences</w:t>
      </w:r>
    </w:p>
    <w:p w14:paraId="3FF070B6" w14:textId="141C89E1" w:rsidR="001B0009" w:rsidRPr="000742CE" w:rsidRDefault="009A3A43" w:rsidP="00E540C9">
      <w:pPr>
        <w:jc w:val="both"/>
        <w:rPr>
          <w:sz w:val="20"/>
          <w:szCs w:val="20"/>
        </w:rPr>
      </w:pPr>
      <w:r w:rsidRPr="000742CE">
        <w:rPr>
          <w:sz w:val="20"/>
          <w:szCs w:val="20"/>
        </w:rPr>
        <w:t>• séquence 1</w:t>
      </w:r>
      <w:r w:rsidRPr="000742CE">
        <w:rPr>
          <w:rFonts w:ascii="Calibri" w:hAnsi="Calibri" w:cs="Calibri"/>
          <w:sz w:val="20"/>
          <w:szCs w:val="20"/>
        </w:rPr>
        <w:t> </w:t>
      </w:r>
      <w:r w:rsidRPr="000742CE">
        <w:rPr>
          <w:sz w:val="20"/>
          <w:szCs w:val="20"/>
        </w:rPr>
        <w:t>: observation par le jury d’un temps d’enseignement en classe.</w:t>
      </w:r>
    </w:p>
    <w:p w14:paraId="25E22713" w14:textId="066C4BD7" w:rsidR="009A3A43" w:rsidRPr="000742CE" w:rsidRDefault="009A3A43" w:rsidP="00E540C9">
      <w:pPr>
        <w:jc w:val="both"/>
        <w:rPr>
          <w:sz w:val="20"/>
          <w:szCs w:val="20"/>
        </w:rPr>
      </w:pPr>
      <w:r w:rsidRPr="000742CE">
        <w:rPr>
          <w:sz w:val="20"/>
          <w:szCs w:val="20"/>
        </w:rPr>
        <w:t>L’enseignement observé par le jury porte principalement, au choix du candidat et en fonction de son lieu d’exercice professionnel, soit sur le français (en élémentaire) ou les activités langagières (en maternelle), soit sur les mathématiques (en élémentaire) ou sur la construction du nombre (en maternelle).</w:t>
      </w:r>
    </w:p>
    <w:p w14:paraId="03A63A9F" w14:textId="0CD09A7B" w:rsidR="009A3A43" w:rsidRPr="000742CE" w:rsidRDefault="009A3A43" w:rsidP="00E540C9">
      <w:pPr>
        <w:jc w:val="both"/>
        <w:rPr>
          <w:sz w:val="20"/>
          <w:szCs w:val="20"/>
        </w:rPr>
      </w:pPr>
      <w:r w:rsidRPr="000742CE">
        <w:rPr>
          <w:sz w:val="20"/>
          <w:szCs w:val="20"/>
        </w:rPr>
        <w:t>• séquence 2</w:t>
      </w:r>
      <w:r w:rsidRPr="000742CE">
        <w:rPr>
          <w:rFonts w:ascii="Calibri" w:hAnsi="Calibri" w:cs="Calibri"/>
          <w:sz w:val="20"/>
          <w:szCs w:val="20"/>
        </w:rPr>
        <w:t> </w:t>
      </w:r>
      <w:r w:rsidRPr="000742CE">
        <w:rPr>
          <w:sz w:val="20"/>
          <w:szCs w:val="20"/>
        </w:rPr>
        <w:t>: entretien entre le candidat et le jury.</w:t>
      </w:r>
    </w:p>
    <w:p w14:paraId="39C3192E" w14:textId="09944CD8" w:rsidR="009A3A43" w:rsidRPr="00652FDC" w:rsidRDefault="009A3A43" w:rsidP="00E540C9">
      <w:pPr>
        <w:jc w:val="both"/>
        <w:rPr>
          <w:sz w:val="20"/>
          <w:szCs w:val="20"/>
        </w:rPr>
      </w:pPr>
      <w:r w:rsidRPr="00652FDC">
        <w:rPr>
          <w:sz w:val="20"/>
          <w:szCs w:val="20"/>
        </w:rPr>
        <w:t>L’entretien consiste en un échange permettant au candidat d’expliciter ses choix. Durant cet entretien, le jury s’assure de la bonne maîtrise, par le candidat, des contenus didactiques et pédagogiques de l’enseignement du français ou des mathématiques.</w:t>
      </w:r>
    </w:p>
    <w:p w14:paraId="2A3F3AD1" w14:textId="77777777" w:rsidR="00556D4B" w:rsidRPr="00652FDC" w:rsidRDefault="00556D4B" w:rsidP="00E540C9">
      <w:pPr>
        <w:jc w:val="both"/>
        <w:rPr>
          <w:sz w:val="20"/>
          <w:szCs w:val="20"/>
        </w:rPr>
      </w:pPr>
    </w:p>
    <w:p w14:paraId="43AC1EF6" w14:textId="77777777" w:rsidR="00556D4B" w:rsidRPr="00652FDC" w:rsidRDefault="00556D4B" w:rsidP="00556D4B">
      <w:pPr>
        <w:jc w:val="both"/>
        <w:rPr>
          <w:b/>
          <w:sz w:val="20"/>
          <w:szCs w:val="20"/>
        </w:rPr>
      </w:pPr>
      <w:r w:rsidRPr="00652FDC">
        <w:rPr>
          <w:b/>
          <w:sz w:val="20"/>
          <w:szCs w:val="20"/>
        </w:rPr>
        <w:t>Une préparation insuffisante des candidats est observée qui révèle :</w:t>
      </w:r>
    </w:p>
    <w:p w14:paraId="3D2C9317" w14:textId="77777777" w:rsidR="00556D4B" w:rsidRPr="00652FDC" w:rsidRDefault="00556D4B" w:rsidP="00556D4B">
      <w:pPr>
        <w:numPr>
          <w:ilvl w:val="1"/>
          <w:numId w:val="5"/>
        </w:numPr>
        <w:jc w:val="both"/>
        <w:rPr>
          <w:i/>
          <w:sz w:val="20"/>
          <w:szCs w:val="20"/>
        </w:rPr>
      </w:pPr>
      <w:r w:rsidRPr="00652FDC">
        <w:rPr>
          <w:i/>
          <w:sz w:val="20"/>
          <w:szCs w:val="20"/>
        </w:rPr>
        <w:t>Une fiche de préparation très ambitieuse en décalage avec le travail habituel ;</w:t>
      </w:r>
    </w:p>
    <w:p w14:paraId="64380292" w14:textId="77777777" w:rsidR="00556D4B" w:rsidRPr="00652FDC" w:rsidRDefault="00556D4B" w:rsidP="00556D4B">
      <w:pPr>
        <w:numPr>
          <w:ilvl w:val="1"/>
          <w:numId w:val="6"/>
        </w:numPr>
        <w:jc w:val="both"/>
        <w:rPr>
          <w:i/>
          <w:sz w:val="20"/>
          <w:szCs w:val="20"/>
        </w:rPr>
      </w:pPr>
      <w:r w:rsidRPr="00652FDC">
        <w:rPr>
          <w:i/>
          <w:sz w:val="20"/>
          <w:szCs w:val="20"/>
        </w:rPr>
        <w:t xml:space="preserve">Un manque d’anticipation ; </w:t>
      </w:r>
    </w:p>
    <w:p w14:paraId="344E6A43" w14:textId="53C78776" w:rsidR="00556D4B" w:rsidRPr="00652FDC" w:rsidRDefault="00556D4B" w:rsidP="00556D4B">
      <w:pPr>
        <w:numPr>
          <w:ilvl w:val="1"/>
          <w:numId w:val="6"/>
        </w:numPr>
        <w:jc w:val="both"/>
        <w:rPr>
          <w:b/>
          <w:sz w:val="20"/>
          <w:szCs w:val="20"/>
        </w:rPr>
      </w:pPr>
      <w:r w:rsidRPr="00652FDC">
        <w:rPr>
          <w:i/>
          <w:sz w:val="20"/>
          <w:szCs w:val="20"/>
        </w:rPr>
        <w:t>Des faiblesses pédagogiques et didactiques</w:t>
      </w:r>
      <w:r w:rsidRPr="00652FDC">
        <w:rPr>
          <w:b/>
          <w:sz w:val="20"/>
          <w:szCs w:val="20"/>
        </w:rPr>
        <w:t>.</w:t>
      </w:r>
    </w:p>
    <w:p w14:paraId="7213BD62" w14:textId="2A90BECA" w:rsidR="00556D4B" w:rsidRPr="00652FDC" w:rsidRDefault="00556D4B" w:rsidP="00652FDC">
      <w:pPr>
        <w:jc w:val="both"/>
        <w:rPr>
          <w:b/>
          <w:sz w:val="20"/>
          <w:szCs w:val="20"/>
        </w:rPr>
      </w:pPr>
      <w:r w:rsidRPr="00652FDC">
        <w:rPr>
          <w:b/>
          <w:sz w:val="20"/>
          <w:szCs w:val="20"/>
        </w:rPr>
        <w:t>Le jury préconise de mettre en avant lors de l’entretien les connaissances didactiques et pédagogiques</w:t>
      </w:r>
      <w:r w:rsidR="008E7273" w:rsidRPr="00652FDC">
        <w:rPr>
          <w:b/>
          <w:sz w:val="20"/>
          <w:szCs w:val="20"/>
        </w:rPr>
        <w:t xml:space="preserve"> qui s’</w:t>
      </w:r>
      <w:r w:rsidR="00CE499F" w:rsidRPr="00652FDC">
        <w:rPr>
          <w:b/>
          <w:sz w:val="20"/>
          <w:szCs w:val="20"/>
        </w:rPr>
        <w:t>appuient</w:t>
      </w:r>
      <w:r w:rsidR="008E7273" w:rsidRPr="00652FDC">
        <w:rPr>
          <w:b/>
          <w:sz w:val="20"/>
          <w:szCs w:val="20"/>
        </w:rPr>
        <w:t xml:space="preserve"> sur les éléments de la recherche. </w:t>
      </w:r>
      <w:r w:rsidRPr="00652FDC">
        <w:rPr>
          <w:b/>
          <w:sz w:val="20"/>
          <w:szCs w:val="20"/>
        </w:rPr>
        <w:t xml:space="preserve"> L’observation étant le support de l’échange, il n’est pas nécessaire de montrer une séance originale, mais une séance comportant un véritable temps d’apprentissage. Le jury a apprécié le positio</w:t>
      </w:r>
      <w:r w:rsidR="0044091B" w:rsidRPr="00652FDC">
        <w:rPr>
          <w:b/>
          <w:sz w:val="20"/>
          <w:szCs w:val="20"/>
        </w:rPr>
        <w:t xml:space="preserve">nnement des candidats qui </w:t>
      </w:r>
      <w:r w:rsidR="00652FDC" w:rsidRPr="00652FDC">
        <w:rPr>
          <w:b/>
          <w:sz w:val="20"/>
          <w:szCs w:val="20"/>
        </w:rPr>
        <w:t>présente une</w:t>
      </w:r>
      <w:r w:rsidRPr="00652FDC">
        <w:rPr>
          <w:b/>
          <w:sz w:val="20"/>
          <w:szCs w:val="20"/>
        </w:rPr>
        <w:t xml:space="preserve"> véritable analyse appuyée sur l’observation experte des élèves. </w:t>
      </w:r>
    </w:p>
    <w:p w14:paraId="56C025C9" w14:textId="77777777" w:rsidR="00556D4B" w:rsidRPr="00652FDC" w:rsidRDefault="00556D4B" w:rsidP="00E540C9">
      <w:pPr>
        <w:jc w:val="both"/>
        <w:rPr>
          <w:sz w:val="20"/>
          <w:szCs w:val="20"/>
        </w:rPr>
      </w:pPr>
    </w:p>
    <w:p w14:paraId="74B79924" w14:textId="77777777" w:rsidR="0044091B" w:rsidRPr="00652FDC" w:rsidRDefault="0044091B" w:rsidP="00E540C9">
      <w:pPr>
        <w:jc w:val="both"/>
        <w:rPr>
          <w:sz w:val="20"/>
          <w:szCs w:val="20"/>
        </w:rPr>
      </w:pPr>
    </w:p>
    <w:p w14:paraId="427B01C6" w14:textId="77777777" w:rsidR="0044091B" w:rsidRPr="00652FDC" w:rsidRDefault="0044091B" w:rsidP="00E540C9">
      <w:pPr>
        <w:jc w:val="both"/>
        <w:rPr>
          <w:sz w:val="20"/>
          <w:szCs w:val="20"/>
        </w:rPr>
      </w:pPr>
    </w:p>
    <w:p w14:paraId="2094B159" w14:textId="77777777" w:rsidR="00F22E62" w:rsidRDefault="00F22E62" w:rsidP="001B0009">
      <w:pPr>
        <w:rPr>
          <w:b/>
          <w:bCs/>
          <w:sz w:val="20"/>
          <w:szCs w:val="20"/>
        </w:rPr>
      </w:pPr>
    </w:p>
    <w:p w14:paraId="61AD0957" w14:textId="38E41209" w:rsidR="001B0009" w:rsidRPr="00652FDC" w:rsidRDefault="001B0009" w:rsidP="001B0009">
      <w:pPr>
        <w:rPr>
          <w:b/>
          <w:bCs/>
          <w:sz w:val="20"/>
          <w:szCs w:val="20"/>
        </w:rPr>
      </w:pPr>
      <w:r w:rsidRPr="00652FDC">
        <w:rPr>
          <w:b/>
          <w:bCs/>
          <w:sz w:val="20"/>
          <w:szCs w:val="20"/>
        </w:rPr>
        <w:t>Deuxième épreuve d’admission</w:t>
      </w:r>
      <w:r w:rsidRPr="00652FDC">
        <w:rPr>
          <w:rFonts w:ascii="Calibri" w:hAnsi="Calibri" w:cs="Calibri"/>
          <w:b/>
          <w:bCs/>
          <w:sz w:val="20"/>
          <w:szCs w:val="20"/>
        </w:rPr>
        <w:t> </w:t>
      </w:r>
      <w:r w:rsidRPr="00652FDC">
        <w:rPr>
          <w:b/>
          <w:bCs/>
          <w:sz w:val="20"/>
          <w:szCs w:val="20"/>
        </w:rPr>
        <w:t>:</w:t>
      </w:r>
      <w:r w:rsidR="00C83E63" w:rsidRPr="00652FDC">
        <w:rPr>
          <w:b/>
          <w:bCs/>
          <w:sz w:val="20"/>
          <w:szCs w:val="20"/>
        </w:rPr>
        <w:t xml:space="preserve"> </w:t>
      </w:r>
      <w:r w:rsidR="009A3A43" w:rsidRPr="00652FDC">
        <w:rPr>
          <w:b/>
          <w:bCs/>
          <w:sz w:val="20"/>
          <w:szCs w:val="20"/>
        </w:rPr>
        <w:t>4 séquences</w:t>
      </w:r>
    </w:p>
    <w:p w14:paraId="6CAAD62D" w14:textId="2E225C0B" w:rsidR="003236AA" w:rsidRPr="00652FDC" w:rsidRDefault="003236AA" w:rsidP="001B0009">
      <w:pPr>
        <w:rPr>
          <w:sz w:val="20"/>
          <w:szCs w:val="20"/>
        </w:rPr>
      </w:pPr>
      <w:r w:rsidRPr="00652FDC">
        <w:rPr>
          <w:b/>
          <w:bCs/>
          <w:sz w:val="20"/>
          <w:szCs w:val="20"/>
        </w:rPr>
        <w:t xml:space="preserve">• </w:t>
      </w:r>
      <w:r w:rsidRPr="00652FDC">
        <w:rPr>
          <w:sz w:val="20"/>
          <w:szCs w:val="20"/>
        </w:rPr>
        <w:t>séquence 1</w:t>
      </w:r>
      <w:r w:rsidRPr="00652FDC">
        <w:rPr>
          <w:rFonts w:ascii="Calibri" w:hAnsi="Calibri" w:cs="Calibri"/>
          <w:sz w:val="20"/>
          <w:szCs w:val="20"/>
        </w:rPr>
        <w:t> </w:t>
      </w:r>
      <w:r w:rsidRPr="00652FDC">
        <w:rPr>
          <w:sz w:val="20"/>
          <w:szCs w:val="20"/>
        </w:rPr>
        <w:t>: observation en classe d’un instituteur ou d’un professeur des écoles titulaire ou stagiaire par le candidat, en présence du jury.</w:t>
      </w:r>
    </w:p>
    <w:p w14:paraId="7731D847" w14:textId="5B7C021D" w:rsidR="003236AA" w:rsidRPr="00652FDC" w:rsidRDefault="003236AA" w:rsidP="001B0009">
      <w:pPr>
        <w:rPr>
          <w:sz w:val="20"/>
          <w:szCs w:val="20"/>
        </w:rPr>
      </w:pPr>
      <w:r w:rsidRPr="00652FDC">
        <w:rPr>
          <w:sz w:val="20"/>
          <w:szCs w:val="20"/>
        </w:rPr>
        <w:t>• séquence 2</w:t>
      </w:r>
      <w:r w:rsidRPr="00652FDC">
        <w:rPr>
          <w:rFonts w:ascii="Calibri" w:hAnsi="Calibri" w:cs="Calibri"/>
          <w:sz w:val="20"/>
          <w:szCs w:val="20"/>
        </w:rPr>
        <w:t> </w:t>
      </w:r>
      <w:r w:rsidRPr="00652FDC">
        <w:rPr>
          <w:sz w:val="20"/>
          <w:szCs w:val="20"/>
        </w:rPr>
        <w:t xml:space="preserve">: analyse immédiate </w:t>
      </w:r>
      <w:r w:rsidR="005B017E" w:rsidRPr="00652FDC">
        <w:rPr>
          <w:sz w:val="20"/>
          <w:szCs w:val="20"/>
        </w:rPr>
        <w:t>consécutive de la séquence 1 par le candidat, avec l’instituteur ou le professeur des écoles, en présence du jury.</w:t>
      </w:r>
    </w:p>
    <w:p w14:paraId="3F6A07E0" w14:textId="31C5FF56" w:rsidR="005B017E" w:rsidRPr="00652FDC" w:rsidRDefault="005B017E" w:rsidP="001B0009">
      <w:pPr>
        <w:rPr>
          <w:sz w:val="20"/>
          <w:szCs w:val="20"/>
        </w:rPr>
      </w:pPr>
      <w:r w:rsidRPr="00652FDC">
        <w:rPr>
          <w:sz w:val="20"/>
          <w:szCs w:val="20"/>
        </w:rPr>
        <w:t>• séquence 3</w:t>
      </w:r>
      <w:r w:rsidRPr="00652FDC">
        <w:rPr>
          <w:rFonts w:ascii="Calibri" w:hAnsi="Calibri" w:cs="Calibri"/>
          <w:sz w:val="20"/>
          <w:szCs w:val="20"/>
        </w:rPr>
        <w:t> </w:t>
      </w:r>
      <w:r w:rsidRPr="00652FDC">
        <w:rPr>
          <w:sz w:val="20"/>
          <w:szCs w:val="20"/>
        </w:rPr>
        <w:t>: production par le candidat d’un rapport de visite sur la séance observée en séquence 1 de la 2</w:t>
      </w:r>
      <w:r w:rsidRPr="00652FDC">
        <w:rPr>
          <w:sz w:val="20"/>
          <w:szCs w:val="20"/>
          <w:vertAlign w:val="superscript"/>
        </w:rPr>
        <w:t>e</w:t>
      </w:r>
      <w:r w:rsidRPr="00652FDC">
        <w:rPr>
          <w:sz w:val="20"/>
          <w:szCs w:val="20"/>
        </w:rPr>
        <w:t xml:space="preserve"> épreuve d’admission.</w:t>
      </w:r>
    </w:p>
    <w:p w14:paraId="42131429" w14:textId="03646127" w:rsidR="00F87991" w:rsidRPr="00F22E62" w:rsidRDefault="005B017E" w:rsidP="00427797">
      <w:pPr>
        <w:rPr>
          <w:sz w:val="20"/>
          <w:szCs w:val="20"/>
        </w:rPr>
      </w:pPr>
      <w:r w:rsidRPr="00652FDC">
        <w:rPr>
          <w:sz w:val="20"/>
          <w:szCs w:val="20"/>
        </w:rPr>
        <w:t>• séquence 4</w:t>
      </w:r>
      <w:r w:rsidRPr="00652FDC">
        <w:rPr>
          <w:rFonts w:ascii="Calibri" w:hAnsi="Calibri" w:cs="Calibri"/>
          <w:sz w:val="20"/>
          <w:szCs w:val="20"/>
        </w:rPr>
        <w:t> </w:t>
      </w:r>
      <w:r w:rsidRPr="00652FDC">
        <w:rPr>
          <w:sz w:val="20"/>
          <w:szCs w:val="20"/>
        </w:rPr>
        <w:t>: entretien du candidat avec le jury au cours duquel il est amené à expliciter ses intentions mises en œuvre dans la séquence 2 (de la 2</w:t>
      </w:r>
      <w:r w:rsidRPr="00652FDC">
        <w:rPr>
          <w:sz w:val="20"/>
          <w:szCs w:val="20"/>
          <w:vertAlign w:val="superscript"/>
        </w:rPr>
        <w:t>e</w:t>
      </w:r>
      <w:r w:rsidRPr="00652FDC">
        <w:rPr>
          <w:sz w:val="20"/>
          <w:szCs w:val="20"/>
        </w:rPr>
        <w:t xml:space="preserve"> épreuve d’admission) et à présenter l’écrit professionnel produit en séquence 3. </w:t>
      </w:r>
      <w:r w:rsidR="00F87991" w:rsidRPr="00652FDC">
        <w:rPr>
          <w:sz w:val="20"/>
          <w:szCs w:val="20"/>
        </w:rPr>
        <w:t>Le questionnement du candidat, par le jury, dépasse le cadre de la séance observée et permet au jury d’apprécier les connaissances pédagogiques et didactiques du candidat.</w:t>
      </w:r>
    </w:p>
    <w:p w14:paraId="3592EB10" w14:textId="3FA4EE9D" w:rsidR="00F87991" w:rsidRPr="00652FDC" w:rsidRDefault="00F87991" w:rsidP="00F87991">
      <w:pPr>
        <w:jc w:val="both"/>
        <w:rPr>
          <w:sz w:val="20"/>
          <w:szCs w:val="20"/>
        </w:rPr>
      </w:pPr>
      <w:r w:rsidRPr="00652FDC">
        <w:rPr>
          <w:sz w:val="20"/>
          <w:szCs w:val="20"/>
        </w:rPr>
        <w:t>Le jury invite les candidats à bien s’approprier les différents points d</w:t>
      </w:r>
      <w:r w:rsidR="00442A9C" w:rsidRPr="00652FDC">
        <w:rPr>
          <w:sz w:val="20"/>
          <w:szCs w:val="20"/>
        </w:rPr>
        <w:t>u décret n°2021-548 et de</w:t>
      </w:r>
      <w:r w:rsidRPr="00652FDC">
        <w:rPr>
          <w:sz w:val="20"/>
          <w:szCs w:val="20"/>
        </w:rPr>
        <w:t xml:space="preserve"> l</w:t>
      </w:r>
      <w:r w:rsidR="00442A9C" w:rsidRPr="00652FDC">
        <w:rPr>
          <w:sz w:val="20"/>
          <w:szCs w:val="20"/>
        </w:rPr>
        <w:t xml:space="preserve">’arrêté du 4 mai 2021 fixant l’organisation du certificat d’aptitude aux fonctions d’instituteur ou de professeur des écoles maître formateur. </w:t>
      </w:r>
    </w:p>
    <w:p w14:paraId="2C986349" w14:textId="038F677E" w:rsidR="00556D4B" w:rsidRPr="00652FDC" w:rsidRDefault="00556D4B" w:rsidP="00556D4B">
      <w:pPr>
        <w:numPr>
          <w:ilvl w:val="0"/>
          <w:numId w:val="7"/>
        </w:numPr>
        <w:jc w:val="both"/>
        <w:rPr>
          <w:i/>
          <w:sz w:val="20"/>
          <w:szCs w:val="20"/>
        </w:rPr>
      </w:pPr>
      <w:r w:rsidRPr="00652FDC">
        <w:rPr>
          <w:i/>
          <w:sz w:val="20"/>
          <w:szCs w:val="20"/>
        </w:rPr>
        <w:t>Pour certains candidats, il est difficile de dépasser le constat des difficultés de l’enseignant observé pour le conduire et l’accompagner vers une pensée réflexive de sa pratique.</w:t>
      </w:r>
    </w:p>
    <w:p w14:paraId="0AD69479" w14:textId="77ABBE0A" w:rsidR="0044091B" w:rsidRPr="00652FDC" w:rsidRDefault="0044091B" w:rsidP="00556D4B">
      <w:pPr>
        <w:numPr>
          <w:ilvl w:val="0"/>
          <w:numId w:val="7"/>
        </w:numPr>
        <w:jc w:val="both"/>
        <w:rPr>
          <w:i/>
          <w:sz w:val="20"/>
          <w:szCs w:val="20"/>
        </w:rPr>
      </w:pPr>
      <w:r w:rsidRPr="00652FDC">
        <w:rPr>
          <w:i/>
          <w:sz w:val="20"/>
          <w:szCs w:val="20"/>
        </w:rPr>
        <w:t xml:space="preserve">Globalement, les candidats ont été très bienveillants lors des entretiens avec les enseignants, ils ont su </w:t>
      </w:r>
      <w:r w:rsidR="00CE499F" w:rsidRPr="00652FDC">
        <w:rPr>
          <w:i/>
          <w:sz w:val="20"/>
          <w:szCs w:val="20"/>
        </w:rPr>
        <w:t>installer</w:t>
      </w:r>
      <w:r w:rsidRPr="00652FDC">
        <w:rPr>
          <w:i/>
          <w:sz w:val="20"/>
          <w:szCs w:val="20"/>
        </w:rPr>
        <w:t xml:space="preserve"> un climat </w:t>
      </w:r>
      <w:r w:rsidR="00CE499F" w:rsidRPr="00652FDC">
        <w:rPr>
          <w:i/>
          <w:sz w:val="20"/>
          <w:szCs w:val="20"/>
        </w:rPr>
        <w:t>sécurisant</w:t>
      </w:r>
      <w:r w:rsidRPr="00652FDC">
        <w:rPr>
          <w:i/>
          <w:sz w:val="20"/>
          <w:szCs w:val="20"/>
        </w:rPr>
        <w:t xml:space="preserve"> facilitant les échanges.</w:t>
      </w:r>
    </w:p>
    <w:p w14:paraId="3D05FA16" w14:textId="029ED618" w:rsidR="0044091B" w:rsidRPr="00652FDC" w:rsidRDefault="0044091B" w:rsidP="00556D4B">
      <w:pPr>
        <w:numPr>
          <w:ilvl w:val="0"/>
          <w:numId w:val="7"/>
        </w:numPr>
        <w:jc w:val="both"/>
        <w:rPr>
          <w:i/>
          <w:sz w:val="20"/>
          <w:szCs w:val="20"/>
        </w:rPr>
      </w:pPr>
      <w:r w:rsidRPr="00652FDC">
        <w:rPr>
          <w:i/>
          <w:sz w:val="20"/>
          <w:szCs w:val="20"/>
        </w:rPr>
        <w:t>La durée de l’entretien du candidat avec l’enseignant est courte et nécessite une menée construite et anticipée.</w:t>
      </w:r>
    </w:p>
    <w:p w14:paraId="03AA0542" w14:textId="6D25A4BC" w:rsidR="00556D4B" w:rsidRPr="00652FDC" w:rsidRDefault="00556D4B" w:rsidP="00556D4B">
      <w:pPr>
        <w:numPr>
          <w:ilvl w:val="0"/>
          <w:numId w:val="7"/>
        </w:numPr>
        <w:jc w:val="both"/>
        <w:rPr>
          <w:i/>
          <w:sz w:val="20"/>
          <w:szCs w:val="20"/>
        </w:rPr>
      </w:pPr>
      <w:r w:rsidRPr="00652FDC">
        <w:rPr>
          <w:i/>
          <w:sz w:val="20"/>
          <w:szCs w:val="20"/>
        </w:rPr>
        <w:t>Certains membres de jury se questionnent sur la conception du rôle de conseiller pédagogique que possède le candidat dans le domaine de l’accompagnement de l’individu.</w:t>
      </w:r>
    </w:p>
    <w:p w14:paraId="2F820B31" w14:textId="0A667458" w:rsidR="00556D4B" w:rsidRPr="00652FDC" w:rsidRDefault="00556D4B" w:rsidP="00556D4B">
      <w:pPr>
        <w:numPr>
          <w:ilvl w:val="0"/>
          <w:numId w:val="7"/>
        </w:numPr>
        <w:jc w:val="both"/>
        <w:rPr>
          <w:i/>
          <w:sz w:val="20"/>
          <w:szCs w:val="20"/>
        </w:rPr>
      </w:pPr>
      <w:r w:rsidRPr="00652FDC">
        <w:rPr>
          <w:i/>
          <w:sz w:val="20"/>
          <w:szCs w:val="20"/>
        </w:rPr>
        <w:t xml:space="preserve">La rédaction du rapport de visite est mentionnée comme une difficulté pour plusieurs candidats. Cet écrit professionnel est exigeant et </w:t>
      </w:r>
      <w:r w:rsidR="0044091B" w:rsidRPr="00652FDC">
        <w:rPr>
          <w:i/>
          <w:sz w:val="20"/>
          <w:szCs w:val="20"/>
        </w:rPr>
        <w:t>nécessite</w:t>
      </w:r>
      <w:r w:rsidRPr="00652FDC">
        <w:rPr>
          <w:i/>
          <w:sz w:val="20"/>
          <w:szCs w:val="20"/>
        </w:rPr>
        <w:t xml:space="preserve"> une prise de distance. Il ne comporte pas toujours des éléments objectifs qui permettent </w:t>
      </w:r>
      <w:r w:rsidR="0044091B" w:rsidRPr="00652FDC">
        <w:rPr>
          <w:i/>
          <w:sz w:val="20"/>
          <w:szCs w:val="20"/>
        </w:rPr>
        <w:t xml:space="preserve">à l’enseignant une meilleure compréhension. Les pistes d’amélioration sont peu nombreuses. </w:t>
      </w:r>
    </w:p>
    <w:p w14:paraId="49A86A2B" w14:textId="5626AB8F" w:rsidR="0044091B" w:rsidRPr="00652FDC" w:rsidRDefault="0044091B" w:rsidP="0044091B">
      <w:pPr>
        <w:ind w:left="720"/>
        <w:jc w:val="both"/>
        <w:rPr>
          <w:b/>
          <w:sz w:val="20"/>
          <w:szCs w:val="20"/>
        </w:rPr>
      </w:pPr>
      <w:r w:rsidRPr="00652FDC">
        <w:rPr>
          <w:b/>
          <w:sz w:val="20"/>
          <w:szCs w:val="20"/>
        </w:rPr>
        <w:t>Le jury préconise pour l’ensemble de cette épreuve, les éléments suivants</w:t>
      </w:r>
      <w:r w:rsidRPr="00652FDC">
        <w:rPr>
          <w:rFonts w:ascii="Calibri" w:hAnsi="Calibri" w:cs="Calibri"/>
          <w:b/>
          <w:sz w:val="20"/>
          <w:szCs w:val="20"/>
        </w:rPr>
        <w:t> </w:t>
      </w:r>
      <w:r w:rsidRPr="00652FDC">
        <w:rPr>
          <w:b/>
          <w:sz w:val="20"/>
          <w:szCs w:val="20"/>
        </w:rPr>
        <w:t xml:space="preserve">: </w:t>
      </w:r>
    </w:p>
    <w:p w14:paraId="178A1D2D" w14:textId="2C62D057" w:rsidR="0044091B" w:rsidRPr="00652FDC" w:rsidRDefault="0044091B" w:rsidP="0044091B">
      <w:pPr>
        <w:ind w:left="720"/>
        <w:jc w:val="both"/>
        <w:rPr>
          <w:i/>
          <w:sz w:val="20"/>
          <w:szCs w:val="20"/>
        </w:rPr>
      </w:pPr>
      <w:r w:rsidRPr="00652FDC">
        <w:rPr>
          <w:b/>
          <w:sz w:val="20"/>
          <w:szCs w:val="20"/>
        </w:rPr>
        <w:tab/>
        <w:t>-</w:t>
      </w:r>
      <w:r w:rsidR="003C514A" w:rsidRPr="00652FDC">
        <w:rPr>
          <w:b/>
          <w:sz w:val="20"/>
          <w:szCs w:val="20"/>
        </w:rPr>
        <w:t xml:space="preserve"> </w:t>
      </w:r>
      <w:r w:rsidR="003C514A" w:rsidRPr="00652FDC">
        <w:rPr>
          <w:i/>
          <w:sz w:val="20"/>
          <w:szCs w:val="20"/>
        </w:rPr>
        <w:t>séquence 1</w:t>
      </w:r>
      <w:r w:rsidR="00CE499F" w:rsidRPr="00652FDC">
        <w:rPr>
          <w:i/>
          <w:sz w:val="20"/>
          <w:szCs w:val="20"/>
        </w:rPr>
        <w:t xml:space="preserve"> : un</w:t>
      </w:r>
      <w:r w:rsidRPr="00652FDC">
        <w:rPr>
          <w:i/>
          <w:sz w:val="20"/>
          <w:szCs w:val="20"/>
        </w:rPr>
        <w:t xml:space="preserve"> travail préparatoire de construction d’une observation experte, qui peut s’appuyer sur l’utilisation d’un outil personnel.</w:t>
      </w:r>
    </w:p>
    <w:p w14:paraId="59FB8065" w14:textId="02E4ED69" w:rsidR="0044091B" w:rsidRPr="00652FDC" w:rsidRDefault="0044091B" w:rsidP="0044091B">
      <w:pPr>
        <w:ind w:left="720"/>
        <w:jc w:val="both"/>
        <w:rPr>
          <w:i/>
          <w:sz w:val="20"/>
          <w:szCs w:val="20"/>
        </w:rPr>
      </w:pPr>
      <w:r w:rsidRPr="00652FDC">
        <w:rPr>
          <w:i/>
          <w:sz w:val="20"/>
          <w:szCs w:val="20"/>
        </w:rPr>
        <w:tab/>
        <w:t>-</w:t>
      </w:r>
      <w:r w:rsidR="003C514A" w:rsidRPr="00652FDC">
        <w:rPr>
          <w:i/>
          <w:sz w:val="20"/>
          <w:szCs w:val="20"/>
        </w:rPr>
        <w:t>séquence 2</w:t>
      </w:r>
      <w:r w:rsidR="003C514A" w:rsidRPr="00652FDC">
        <w:rPr>
          <w:rFonts w:ascii="Calibri" w:hAnsi="Calibri" w:cs="Calibri"/>
          <w:i/>
          <w:sz w:val="20"/>
          <w:szCs w:val="20"/>
        </w:rPr>
        <w:t> </w:t>
      </w:r>
      <w:r w:rsidR="003C514A" w:rsidRPr="00652FDC">
        <w:rPr>
          <w:i/>
          <w:sz w:val="20"/>
          <w:szCs w:val="20"/>
        </w:rPr>
        <w:t xml:space="preserve">: </w:t>
      </w:r>
      <w:r w:rsidRPr="00652FDC">
        <w:rPr>
          <w:i/>
          <w:sz w:val="20"/>
          <w:szCs w:val="20"/>
        </w:rPr>
        <w:t>une anticipation plus importante de l’épreuve d’entretien avec l’enseignant. L’utilisation d’un outil support d’entretien favorise les échange</w:t>
      </w:r>
      <w:r w:rsidR="003C514A" w:rsidRPr="00652FDC">
        <w:rPr>
          <w:i/>
          <w:sz w:val="20"/>
          <w:szCs w:val="20"/>
        </w:rPr>
        <w:t>s</w:t>
      </w:r>
      <w:r w:rsidRPr="00652FDC">
        <w:rPr>
          <w:i/>
          <w:sz w:val="20"/>
          <w:szCs w:val="20"/>
        </w:rPr>
        <w:t xml:space="preserve"> et permet au candidat de</w:t>
      </w:r>
      <w:r w:rsidR="003C514A" w:rsidRPr="00652FDC">
        <w:rPr>
          <w:i/>
          <w:sz w:val="20"/>
          <w:szCs w:val="20"/>
        </w:rPr>
        <w:t xml:space="preserve"> présenter les enjeux et de respecter le temps imparti à cette épreuve.</w:t>
      </w:r>
    </w:p>
    <w:p w14:paraId="466003B3" w14:textId="3CEFC306" w:rsidR="003C514A" w:rsidRDefault="003C514A" w:rsidP="0044091B">
      <w:pPr>
        <w:ind w:left="720"/>
        <w:jc w:val="both"/>
        <w:rPr>
          <w:i/>
          <w:sz w:val="20"/>
          <w:szCs w:val="20"/>
        </w:rPr>
      </w:pPr>
      <w:r w:rsidRPr="00652FDC">
        <w:rPr>
          <w:i/>
          <w:sz w:val="20"/>
          <w:szCs w:val="20"/>
        </w:rPr>
        <w:tab/>
        <w:t>- séquence 3</w:t>
      </w:r>
      <w:r w:rsidRPr="00652FDC">
        <w:rPr>
          <w:rFonts w:ascii="Calibri" w:hAnsi="Calibri" w:cs="Calibri"/>
          <w:i/>
          <w:sz w:val="20"/>
          <w:szCs w:val="20"/>
        </w:rPr>
        <w:t> </w:t>
      </w:r>
      <w:r w:rsidRPr="00652FDC">
        <w:rPr>
          <w:i/>
          <w:sz w:val="20"/>
          <w:szCs w:val="20"/>
        </w:rPr>
        <w:t>: une pr</w:t>
      </w:r>
      <w:r w:rsidRPr="00652FDC">
        <w:rPr>
          <w:rFonts w:cs="Marianne"/>
          <w:i/>
          <w:sz w:val="20"/>
          <w:szCs w:val="20"/>
        </w:rPr>
        <w:t>é</w:t>
      </w:r>
      <w:r w:rsidRPr="00652FDC">
        <w:rPr>
          <w:i/>
          <w:sz w:val="20"/>
          <w:szCs w:val="20"/>
        </w:rPr>
        <w:t xml:space="preserve">paration </w:t>
      </w:r>
      <w:r w:rsidRPr="00652FDC">
        <w:rPr>
          <w:rFonts w:cs="Marianne"/>
          <w:i/>
          <w:sz w:val="20"/>
          <w:szCs w:val="20"/>
        </w:rPr>
        <w:t>à</w:t>
      </w:r>
      <w:r w:rsidRPr="00652FDC">
        <w:rPr>
          <w:i/>
          <w:sz w:val="20"/>
          <w:szCs w:val="20"/>
        </w:rPr>
        <w:t xml:space="preserve"> la r</w:t>
      </w:r>
      <w:r w:rsidRPr="00652FDC">
        <w:rPr>
          <w:rFonts w:cs="Marianne"/>
          <w:i/>
          <w:sz w:val="20"/>
          <w:szCs w:val="20"/>
        </w:rPr>
        <w:t>é</w:t>
      </w:r>
      <w:r w:rsidRPr="00652FDC">
        <w:rPr>
          <w:i/>
          <w:sz w:val="20"/>
          <w:szCs w:val="20"/>
        </w:rPr>
        <w:t>daction d</w:t>
      </w:r>
      <w:r w:rsidRPr="00652FDC">
        <w:rPr>
          <w:rFonts w:cs="Marianne"/>
          <w:i/>
          <w:sz w:val="20"/>
          <w:szCs w:val="20"/>
        </w:rPr>
        <w:t>’</w:t>
      </w:r>
      <w:r w:rsidRPr="00652FDC">
        <w:rPr>
          <w:i/>
          <w:sz w:val="20"/>
          <w:szCs w:val="20"/>
        </w:rPr>
        <w:t xml:space="preserve">un rapport de visite favorise le positionnement du candidat. Cet </w:t>
      </w:r>
      <w:r w:rsidRPr="00652FDC">
        <w:rPr>
          <w:rFonts w:cs="Marianne"/>
          <w:i/>
          <w:sz w:val="20"/>
          <w:szCs w:val="20"/>
        </w:rPr>
        <w:t>é</w:t>
      </w:r>
      <w:r w:rsidRPr="00652FDC">
        <w:rPr>
          <w:i/>
          <w:sz w:val="20"/>
          <w:szCs w:val="20"/>
        </w:rPr>
        <w:t xml:space="preserve">crit professionnel doit comporter des éléments objectifs et surtout relater les points abordés lors de l’entretien. Il ne doit pas comporter une analyse du positionnement du candidat lors de l’entretien, mais permettre à celui-ci d’engager lors de séquence 4 un échange. </w:t>
      </w:r>
    </w:p>
    <w:p w14:paraId="00408F9F" w14:textId="77777777" w:rsidR="00F22E62" w:rsidRDefault="00F22E62" w:rsidP="0044091B">
      <w:pPr>
        <w:ind w:left="720"/>
        <w:jc w:val="both"/>
        <w:rPr>
          <w:i/>
          <w:sz w:val="20"/>
          <w:szCs w:val="20"/>
        </w:rPr>
      </w:pPr>
    </w:p>
    <w:p w14:paraId="69CEF2AE" w14:textId="77777777" w:rsidR="00652FDC" w:rsidRPr="00652FDC" w:rsidRDefault="00652FDC" w:rsidP="0044091B">
      <w:pPr>
        <w:ind w:left="720"/>
        <w:jc w:val="both"/>
        <w:rPr>
          <w:i/>
          <w:sz w:val="20"/>
          <w:szCs w:val="20"/>
        </w:rPr>
      </w:pPr>
    </w:p>
    <w:p w14:paraId="34B400B0" w14:textId="47E113A6" w:rsidR="003C514A" w:rsidRPr="00652FDC" w:rsidRDefault="003C514A" w:rsidP="0044091B">
      <w:pPr>
        <w:ind w:left="720"/>
        <w:jc w:val="both"/>
        <w:rPr>
          <w:i/>
          <w:sz w:val="20"/>
          <w:szCs w:val="20"/>
        </w:rPr>
      </w:pPr>
      <w:r w:rsidRPr="00652FDC">
        <w:rPr>
          <w:i/>
          <w:sz w:val="20"/>
          <w:szCs w:val="20"/>
        </w:rPr>
        <w:tab/>
        <w:t>- séquence 4</w:t>
      </w:r>
      <w:r w:rsidRPr="00652FDC">
        <w:rPr>
          <w:rFonts w:ascii="Calibri" w:hAnsi="Calibri" w:cs="Calibri"/>
          <w:i/>
          <w:sz w:val="20"/>
          <w:szCs w:val="20"/>
        </w:rPr>
        <w:t> </w:t>
      </w:r>
      <w:r w:rsidRPr="00652FDC">
        <w:rPr>
          <w:i/>
          <w:sz w:val="20"/>
          <w:szCs w:val="20"/>
        </w:rPr>
        <w:t>: le jury pr</w:t>
      </w:r>
      <w:r w:rsidRPr="00652FDC">
        <w:rPr>
          <w:rFonts w:cs="Marianne"/>
          <w:i/>
          <w:sz w:val="20"/>
          <w:szCs w:val="20"/>
        </w:rPr>
        <w:t>é</w:t>
      </w:r>
      <w:r w:rsidRPr="00652FDC">
        <w:rPr>
          <w:i/>
          <w:sz w:val="20"/>
          <w:szCs w:val="20"/>
        </w:rPr>
        <w:t>conise d</w:t>
      </w:r>
      <w:r w:rsidRPr="00652FDC">
        <w:rPr>
          <w:rFonts w:cs="Marianne"/>
          <w:i/>
          <w:sz w:val="20"/>
          <w:szCs w:val="20"/>
        </w:rPr>
        <w:t>’</w:t>
      </w:r>
      <w:r w:rsidRPr="00652FDC">
        <w:rPr>
          <w:i/>
          <w:sz w:val="20"/>
          <w:szCs w:val="20"/>
        </w:rPr>
        <w:t>approfondir ses connaissances des attendus institutionnels. Le questionnement n</w:t>
      </w:r>
      <w:r w:rsidRPr="00652FDC">
        <w:rPr>
          <w:rFonts w:cs="Marianne"/>
          <w:i/>
          <w:sz w:val="20"/>
          <w:szCs w:val="20"/>
        </w:rPr>
        <w:t>’é</w:t>
      </w:r>
      <w:r w:rsidRPr="00652FDC">
        <w:rPr>
          <w:i/>
          <w:sz w:val="20"/>
          <w:szCs w:val="20"/>
        </w:rPr>
        <w:t>tant pas uniquement sur la s</w:t>
      </w:r>
      <w:r w:rsidRPr="00652FDC">
        <w:rPr>
          <w:rFonts w:cs="Marianne"/>
          <w:i/>
          <w:sz w:val="20"/>
          <w:szCs w:val="20"/>
        </w:rPr>
        <w:t>é</w:t>
      </w:r>
      <w:r w:rsidRPr="00652FDC">
        <w:rPr>
          <w:i/>
          <w:sz w:val="20"/>
          <w:szCs w:val="20"/>
        </w:rPr>
        <w:t>quence 2 et 3, il est important d</w:t>
      </w:r>
      <w:r w:rsidRPr="00652FDC">
        <w:rPr>
          <w:rFonts w:cs="Marianne"/>
          <w:i/>
          <w:sz w:val="20"/>
          <w:szCs w:val="20"/>
        </w:rPr>
        <w:t>’</w:t>
      </w:r>
      <w:r w:rsidRPr="00652FDC">
        <w:rPr>
          <w:i/>
          <w:sz w:val="20"/>
          <w:szCs w:val="20"/>
        </w:rPr>
        <w:t xml:space="preserve">avoir </w:t>
      </w:r>
      <w:r w:rsidR="008E7273" w:rsidRPr="00652FDC">
        <w:rPr>
          <w:i/>
          <w:sz w:val="20"/>
          <w:szCs w:val="20"/>
        </w:rPr>
        <w:t>réfléchi</w:t>
      </w:r>
      <w:r w:rsidRPr="00652FDC">
        <w:rPr>
          <w:i/>
          <w:sz w:val="20"/>
          <w:szCs w:val="20"/>
        </w:rPr>
        <w:t xml:space="preserve"> à sa posture </w:t>
      </w:r>
      <w:r w:rsidR="00CE499F" w:rsidRPr="00652FDC">
        <w:rPr>
          <w:i/>
          <w:sz w:val="20"/>
          <w:szCs w:val="20"/>
        </w:rPr>
        <w:t>professionnelle.</w:t>
      </w:r>
      <w:r w:rsidRPr="00652FDC">
        <w:rPr>
          <w:i/>
          <w:sz w:val="20"/>
          <w:szCs w:val="20"/>
        </w:rPr>
        <w:t xml:space="preserve"> En effet, la projection en tant que formateur du candidat</w:t>
      </w:r>
      <w:r w:rsidR="008E7273" w:rsidRPr="00652FDC">
        <w:rPr>
          <w:i/>
          <w:sz w:val="20"/>
          <w:szCs w:val="20"/>
        </w:rPr>
        <w:t xml:space="preserve"> doit faire apparaitre, des expertises et des points d’amélioration, voir des pistes précises de travail. </w:t>
      </w:r>
    </w:p>
    <w:p w14:paraId="719A2045" w14:textId="45893EF4" w:rsidR="003C514A" w:rsidRPr="00652FDC" w:rsidRDefault="003C514A" w:rsidP="0044091B">
      <w:pPr>
        <w:ind w:left="720"/>
        <w:jc w:val="both"/>
        <w:rPr>
          <w:i/>
          <w:sz w:val="20"/>
          <w:szCs w:val="20"/>
        </w:rPr>
      </w:pPr>
      <w:r w:rsidRPr="00652FDC">
        <w:rPr>
          <w:i/>
          <w:sz w:val="20"/>
          <w:szCs w:val="20"/>
        </w:rPr>
        <w:tab/>
      </w:r>
    </w:p>
    <w:p w14:paraId="3C103DFB" w14:textId="77777777" w:rsidR="0044091B" w:rsidRPr="00652FDC" w:rsidRDefault="0044091B" w:rsidP="0044091B">
      <w:pPr>
        <w:ind w:left="720"/>
        <w:jc w:val="both"/>
        <w:rPr>
          <w:b/>
          <w:sz w:val="20"/>
          <w:szCs w:val="20"/>
        </w:rPr>
      </w:pPr>
    </w:p>
    <w:p w14:paraId="472AD791" w14:textId="3BEFC78B" w:rsidR="00556D4B" w:rsidRDefault="009D1E88" w:rsidP="00990F75">
      <w:pPr>
        <w:jc w:val="right"/>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Jean-Michel FAIVRE </w:t>
      </w:r>
    </w:p>
    <w:p w14:paraId="78C6FE0D" w14:textId="050D41C5" w:rsidR="009D1E88" w:rsidRDefault="009D1E88" w:rsidP="00556D4B">
      <w:pPr>
        <w:jc w:val="both"/>
        <w:rPr>
          <w:b/>
          <w:bCs/>
          <w:sz w:val="20"/>
          <w:szCs w:val="20"/>
        </w:rPr>
      </w:pPr>
    </w:p>
    <w:p w14:paraId="68A0DE95" w14:textId="36638D60" w:rsidR="009D1E88" w:rsidRPr="00652FDC" w:rsidRDefault="009D1E88" w:rsidP="00990F75">
      <w:pPr>
        <w:jc w:val="right"/>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990F75">
        <w:rPr>
          <w:b/>
          <w:bCs/>
          <w:sz w:val="20"/>
          <w:szCs w:val="20"/>
        </w:rPr>
        <w:t xml:space="preserve">        </w:t>
      </w:r>
      <w:r>
        <w:rPr>
          <w:b/>
          <w:bCs/>
          <w:sz w:val="20"/>
          <w:szCs w:val="20"/>
        </w:rPr>
        <w:t>Adjoint à l’IA-DASEN du Jura</w:t>
      </w:r>
    </w:p>
    <w:p w14:paraId="091B7978" w14:textId="47D267BB" w:rsidR="00556D4B" w:rsidRDefault="00556D4B" w:rsidP="00F87991">
      <w:pPr>
        <w:jc w:val="both"/>
        <w:rPr>
          <w:sz w:val="20"/>
          <w:szCs w:val="20"/>
        </w:rPr>
      </w:pPr>
    </w:p>
    <w:p w14:paraId="6DE247C6" w14:textId="77777777" w:rsidR="00F22E62" w:rsidRPr="00652FDC" w:rsidRDefault="00F22E62" w:rsidP="00F87991">
      <w:pPr>
        <w:jc w:val="both"/>
        <w:rPr>
          <w:sz w:val="20"/>
          <w:szCs w:val="20"/>
        </w:rPr>
      </w:pPr>
    </w:p>
    <w:p w14:paraId="314E6583" w14:textId="243362E9" w:rsidR="00F87991" w:rsidRPr="00652FDC" w:rsidRDefault="00F87991" w:rsidP="00652FDC">
      <w:pPr>
        <w:spacing w:after="0"/>
        <w:rPr>
          <w:b/>
          <w:bCs/>
          <w:sz w:val="20"/>
          <w:szCs w:val="20"/>
        </w:rPr>
      </w:pPr>
    </w:p>
    <w:p w14:paraId="5AD4E49A" w14:textId="28866E7A" w:rsidR="00652FDC" w:rsidRPr="00652FDC" w:rsidRDefault="00652FDC" w:rsidP="00F22E62">
      <w:pPr>
        <w:spacing w:after="0"/>
        <w:ind w:left="5664" w:firstLine="708"/>
        <w:rPr>
          <w:b/>
          <w:bCs/>
          <w:sz w:val="20"/>
          <w:szCs w:val="20"/>
        </w:rPr>
      </w:pPr>
      <w:r>
        <w:rPr>
          <w:b/>
          <w:bCs/>
          <w:sz w:val="20"/>
          <w:szCs w:val="20"/>
        </w:rPr>
        <w:t xml:space="preserve">    </w:t>
      </w:r>
    </w:p>
    <w:p w14:paraId="17C59EB6" w14:textId="3465F857" w:rsidR="00427797" w:rsidRPr="00652FDC" w:rsidRDefault="00427797" w:rsidP="00427797">
      <w:pPr>
        <w:rPr>
          <w:sz w:val="20"/>
          <w:szCs w:val="20"/>
        </w:rPr>
      </w:pPr>
    </w:p>
    <w:p w14:paraId="5A067509" w14:textId="44C4BF6C" w:rsidR="00427797" w:rsidRPr="00652FDC" w:rsidRDefault="00427797" w:rsidP="00427797">
      <w:pPr>
        <w:rPr>
          <w:sz w:val="20"/>
          <w:szCs w:val="20"/>
        </w:rPr>
      </w:pPr>
    </w:p>
    <w:p w14:paraId="4AF07451" w14:textId="05AB185A" w:rsidR="00427797" w:rsidRPr="00652FDC" w:rsidRDefault="00427797" w:rsidP="00427797">
      <w:pPr>
        <w:rPr>
          <w:sz w:val="20"/>
          <w:szCs w:val="20"/>
        </w:rPr>
      </w:pPr>
    </w:p>
    <w:p w14:paraId="0FD1EEC5" w14:textId="03C1A648" w:rsidR="00427797" w:rsidRPr="00652FDC" w:rsidRDefault="00427797" w:rsidP="00427797">
      <w:pPr>
        <w:rPr>
          <w:sz w:val="20"/>
          <w:szCs w:val="20"/>
        </w:rPr>
      </w:pPr>
    </w:p>
    <w:p w14:paraId="3714B9CD" w14:textId="3128B64E" w:rsidR="00427797" w:rsidRPr="00652FDC" w:rsidRDefault="00427797" w:rsidP="00427797">
      <w:pPr>
        <w:rPr>
          <w:sz w:val="20"/>
          <w:szCs w:val="20"/>
        </w:rPr>
      </w:pPr>
    </w:p>
    <w:p w14:paraId="01E69718" w14:textId="063F3582" w:rsidR="00427797" w:rsidRPr="00652FDC" w:rsidRDefault="00427797" w:rsidP="00427797">
      <w:pPr>
        <w:rPr>
          <w:sz w:val="20"/>
          <w:szCs w:val="20"/>
        </w:rPr>
      </w:pPr>
    </w:p>
    <w:p w14:paraId="41F48223" w14:textId="5C31553E" w:rsidR="00427797" w:rsidRPr="00652FDC" w:rsidRDefault="00427797" w:rsidP="00427797">
      <w:pPr>
        <w:rPr>
          <w:sz w:val="20"/>
          <w:szCs w:val="20"/>
        </w:rPr>
      </w:pPr>
    </w:p>
    <w:p w14:paraId="6BA00296" w14:textId="7490373D" w:rsidR="00427797" w:rsidRPr="00652FDC" w:rsidRDefault="00427797" w:rsidP="00427797">
      <w:pPr>
        <w:rPr>
          <w:sz w:val="20"/>
          <w:szCs w:val="20"/>
        </w:rPr>
      </w:pPr>
    </w:p>
    <w:p w14:paraId="5BA41E03" w14:textId="422046DC" w:rsidR="00427797" w:rsidRPr="00652FDC" w:rsidRDefault="00427797" w:rsidP="00427797">
      <w:pPr>
        <w:rPr>
          <w:sz w:val="20"/>
          <w:szCs w:val="20"/>
        </w:rPr>
      </w:pPr>
    </w:p>
    <w:p w14:paraId="6B4B43BB" w14:textId="417246A8" w:rsidR="00427797" w:rsidRPr="00652FDC" w:rsidRDefault="00427797" w:rsidP="00427797">
      <w:pPr>
        <w:rPr>
          <w:sz w:val="20"/>
          <w:szCs w:val="20"/>
        </w:rPr>
      </w:pPr>
    </w:p>
    <w:p w14:paraId="580D8042" w14:textId="18FE4D07" w:rsidR="00427797" w:rsidRDefault="00427797" w:rsidP="00427797">
      <w:pPr>
        <w:rPr>
          <w:sz w:val="20"/>
          <w:szCs w:val="20"/>
        </w:rPr>
      </w:pPr>
    </w:p>
    <w:p w14:paraId="6EDDD258" w14:textId="4EDB5AC7" w:rsidR="00427797" w:rsidRDefault="00427797" w:rsidP="00427797">
      <w:pPr>
        <w:rPr>
          <w:sz w:val="20"/>
          <w:szCs w:val="20"/>
        </w:rPr>
      </w:pPr>
    </w:p>
    <w:p w14:paraId="503651D8" w14:textId="4EEEA53B" w:rsidR="00427797" w:rsidRDefault="00427797" w:rsidP="00427797">
      <w:pPr>
        <w:rPr>
          <w:sz w:val="20"/>
          <w:szCs w:val="20"/>
        </w:rPr>
      </w:pPr>
    </w:p>
    <w:p w14:paraId="3445B980" w14:textId="71EA4102" w:rsidR="00427797" w:rsidRDefault="00427797" w:rsidP="00427797">
      <w:pPr>
        <w:rPr>
          <w:sz w:val="20"/>
          <w:szCs w:val="20"/>
        </w:rPr>
      </w:pPr>
    </w:p>
    <w:p w14:paraId="42CCDDF1" w14:textId="486B35E6" w:rsidR="00427797" w:rsidRDefault="00427797" w:rsidP="00427797">
      <w:pPr>
        <w:rPr>
          <w:sz w:val="20"/>
          <w:szCs w:val="20"/>
        </w:rPr>
      </w:pPr>
    </w:p>
    <w:p w14:paraId="53FFA01B" w14:textId="10AE06B3" w:rsidR="00427797" w:rsidRDefault="00427797" w:rsidP="00427797">
      <w:pPr>
        <w:rPr>
          <w:sz w:val="20"/>
          <w:szCs w:val="20"/>
        </w:rPr>
      </w:pPr>
    </w:p>
    <w:p w14:paraId="7F43C12A" w14:textId="655654AD" w:rsidR="00427797" w:rsidRDefault="00427797" w:rsidP="00427797">
      <w:pPr>
        <w:rPr>
          <w:sz w:val="20"/>
          <w:szCs w:val="20"/>
        </w:rPr>
      </w:pPr>
    </w:p>
    <w:p w14:paraId="3BFB6AC2" w14:textId="373B5C42" w:rsidR="00427797" w:rsidRDefault="00427797" w:rsidP="00427797">
      <w:pPr>
        <w:rPr>
          <w:sz w:val="20"/>
          <w:szCs w:val="20"/>
        </w:rPr>
      </w:pPr>
    </w:p>
    <w:p w14:paraId="7B4F2A43" w14:textId="271547D3" w:rsidR="00427797" w:rsidRDefault="00427797" w:rsidP="00427797">
      <w:pPr>
        <w:rPr>
          <w:sz w:val="20"/>
          <w:szCs w:val="20"/>
        </w:rPr>
      </w:pPr>
    </w:p>
    <w:p w14:paraId="6DCAE647" w14:textId="1BF11560" w:rsidR="00A73A25" w:rsidRDefault="00A73A25" w:rsidP="00427797">
      <w:pPr>
        <w:rPr>
          <w:sz w:val="20"/>
          <w:szCs w:val="20"/>
        </w:rPr>
      </w:pPr>
      <w:bookmarkStart w:id="0" w:name="_GoBack"/>
      <w:bookmarkEnd w:id="0"/>
    </w:p>
    <w:sectPr w:rsidR="00A73A2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74830" w14:textId="77777777" w:rsidR="00503088" w:rsidRDefault="00503088" w:rsidP="00DF0793">
      <w:pPr>
        <w:spacing w:after="0" w:line="240" w:lineRule="auto"/>
      </w:pPr>
      <w:r>
        <w:separator/>
      </w:r>
    </w:p>
  </w:endnote>
  <w:endnote w:type="continuationSeparator" w:id="0">
    <w:p w14:paraId="3ADE5282" w14:textId="77777777" w:rsidR="00503088" w:rsidRDefault="00503088" w:rsidP="00DF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A1E9A" w14:textId="77777777" w:rsidR="00503088" w:rsidRDefault="00503088" w:rsidP="00DF0793">
      <w:pPr>
        <w:spacing w:after="0" w:line="240" w:lineRule="auto"/>
      </w:pPr>
      <w:r>
        <w:separator/>
      </w:r>
    </w:p>
  </w:footnote>
  <w:footnote w:type="continuationSeparator" w:id="0">
    <w:p w14:paraId="0E207BF7" w14:textId="77777777" w:rsidR="00503088" w:rsidRDefault="00503088" w:rsidP="00DF0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DE30F" w14:textId="272CD613" w:rsidR="00DF0793" w:rsidRDefault="00DF0793">
    <w:pPr>
      <w:pStyle w:val="En-tte"/>
    </w:pPr>
    <w:r>
      <w:rPr>
        <w:noProof/>
        <w:lang w:eastAsia="fr-FR"/>
      </w:rPr>
      <w:drawing>
        <wp:anchor distT="0" distB="0" distL="114300" distR="114300" simplePos="0" relativeHeight="251658240" behindDoc="0" locked="0" layoutInCell="1" allowOverlap="1" wp14:anchorId="7E1D67E5" wp14:editId="27915862">
          <wp:simplePos x="0" y="0"/>
          <wp:positionH relativeFrom="column">
            <wp:posOffset>-652059</wp:posOffset>
          </wp:positionH>
          <wp:positionV relativeFrom="paragraph">
            <wp:posOffset>-268674</wp:posOffset>
          </wp:positionV>
          <wp:extent cx="1408671" cy="906162"/>
          <wp:effectExtent l="0" t="0" r="1270" b="8255"/>
          <wp:wrapNone/>
          <wp:docPr id="56" name="Image 56"/>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671" cy="90616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7EA8"/>
    <w:multiLevelType w:val="hybridMultilevel"/>
    <w:tmpl w:val="76DC3E76"/>
    <w:lvl w:ilvl="0" w:tplc="A650BADC">
      <w:start w:val="1"/>
      <w:numFmt w:val="bullet"/>
      <w:lvlText w:val=""/>
      <w:lvlJc w:val="left"/>
      <w:pPr>
        <w:tabs>
          <w:tab w:val="num" w:pos="720"/>
        </w:tabs>
        <w:ind w:left="720" w:hanging="360"/>
      </w:pPr>
      <w:rPr>
        <w:rFonts w:ascii="Wingdings" w:hAnsi="Wingdings" w:hint="default"/>
      </w:rPr>
    </w:lvl>
    <w:lvl w:ilvl="1" w:tplc="FBD22D58" w:tentative="1">
      <w:start w:val="1"/>
      <w:numFmt w:val="bullet"/>
      <w:lvlText w:val=""/>
      <w:lvlJc w:val="left"/>
      <w:pPr>
        <w:tabs>
          <w:tab w:val="num" w:pos="1440"/>
        </w:tabs>
        <w:ind w:left="1440" w:hanging="360"/>
      </w:pPr>
      <w:rPr>
        <w:rFonts w:ascii="Wingdings" w:hAnsi="Wingdings" w:hint="default"/>
      </w:rPr>
    </w:lvl>
    <w:lvl w:ilvl="2" w:tplc="05BC41C6" w:tentative="1">
      <w:start w:val="1"/>
      <w:numFmt w:val="bullet"/>
      <w:lvlText w:val=""/>
      <w:lvlJc w:val="left"/>
      <w:pPr>
        <w:tabs>
          <w:tab w:val="num" w:pos="2160"/>
        </w:tabs>
        <w:ind w:left="2160" w:hanging="360"/>
      </w:pPr>
      <w:rPr>
        <w:rFonts w:ascii="Wingdings" w:hAnsi="Wingdings" w:hint="default"/>
      </w:rPr>
    </w:lvl>
    <w:lvl w:ilvl="3" w:tplc="D828F1CA" w:tentative="1">
      <w:start w:val="1"/>
      <w:numFmt w:val="bullet"/>
      <w:lvlText w:val=""/>
      <w:lvlJc w:val="left"/>
      <w:pPr>
        <w:tabs>
          <w:tab w:val="num" w:pos="2880"/>
        </w:tabs>
        <w:ind w:left="2880" w:hanging="360"/>
      </w:pPr>
      <w:rPr>
        <w:rFonts w:ascii="Wingdings" w:hAnsi="Wingdings" w:hint="default"/>
      </w:rPr>
    </w:lvl>
    <w:lvl w:ilvl="4" w:tplc="67CC5662" w:tentative="1">
      <w:start w:val="1"/>
      <w:numFmt w:val="bullet"/>
      <w:lvlText w:val=""/>
      <w:lvlJc w:val="left"/>
      <w:pPr>
        <w:tabs>
          <w:tab w:val="num" w:pos="3600"/>
        </w:tabs>
        <w:ind w:left="3600" w:hanging="360"/>
      </w:pPr>
      <w:rPr>
        <w:rFonts w:ascii="Wingdings" w:hAnsi="Wingdings" w:hint="default"/>
      </w:rPr>
    </w:lvl>
    <w:lvl w:ilvl="5" w:tplc="57CC8A56" w:tentative="1">
      <w:start w:val="1"/>
      <w:numFmt w:val="bullet"/>
      <w:lvlText w:val=""/>
      <w:lvlJc w:val="left"/>
      <w:pPr>
        <w:tabs>
          <w:tab w:val="num" w:pos="4320"/>
        </w:tabs>
        <w:ind w:left="4320" w:hanging="360"/>
      </w:pPr>
      <w:rPr>
        <w:rFonts w:ascii="Wingdings" w:hAnsi="Wingdings" w:hint="default"/>
      </w:rPr>
    </w:lvl>
    <w:lvl w:ilvl="6" w:tplc="81FC48E4" w:tentative="1">
      <w:start w:val="1"/>
      <w:numFmt w:val="bullet"/>
      <w:lvlText w:val=""/>
      <w:lvlJc w:val="left"/>
      <w:pPr>
        <w:tabs>
          <w:tab w:val="num" w:pos="5040"/>
        </w:tabs>
        <w:ind w:left="5040" w:hanging="360"/>
      </w:pPr>
      <w:rPr>
        <w:rFonts w:ascii="Wingdings" w:hAnsi="Wingdings" w:hint="default"/>
      </w:rPr>
    </w:lvl>
    <w:lvl w:ilvl="7" w:tplc="ACD8896C" w:tentative="1">
      <w:start w:val="1"/>
      <w:numFmt w:val="bullet"/>
      <w:lvlText w:val=""/>
      <w:lvlJc w:val="left"/>
      <w:pPr>
        <w:tabs>
          <w:tab w:val="num" w:pos="5760"/>
        </w:tabs>
        <w:ind w:left="5760" w:hanging="360"/>
      </w:pPr>
      <w:rPr>
        <w:rFonts w:ascii="Wingdings" w:hAnsi="Wingdings" w:hint="default"/>
      </w:rPr>
    </w:lvl>
    <w:lvl w:ilvl="8" w:tplc="802802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8F0B2F"/>
    <w:multiLevelType w:val="hybridMultilevel"/>
    <w:tmpl w:val="566A8880"/>
    <w:lvl w:ilvl="0" w:tplc="0F06A556">
      <w:start w:val="1"/>
      <w:numFmt w:val="bullet"/>
      <w:lvlText w:val=""/>
      <w:lvlJc w:val="left"/>
      <w:pPr>
        <w:tabs>
          <w:tab w:val="num" w:pos="720"/>
        </w:tabs>
        <w:ind w:left="720" w:hanging="360"/>
      </w:pPr>
      <w:rPr>
        <w:rFonts w:ascii="Wingdings" w:hAnsi="Wingdings" w:hint="default"/>
      </w:rPr>
    </w:lvl>
    <w:lvl w:ilvl="1" w:tplc="66BE173A">
      <w:numFmt w:val="bullet"/>
      <w:lvlText w:val="-"/>
      <w:lvlJc w:val="left"/>
      <w:pPr>
        <w:tabs>
          <w:tab w:val="num" w:pos="1440"/>
        </w:tabs>
        <w:ind w:left="1440" w:hanging="360"/>
      </w:pPr>
      <w:rPr>
        <w:rFonts w:ascii="Times New Roman" w:hAnsi="Times New Roman" w:hint="default"/>
      </w:rPr>
    </w:lvl>
    <w:lvl w:ilvl="2" w:tplc="67B61FF0" w:tentative="1">
      <w:start w:val="1"/>
      <w:numFmt w:val="bullet"/>
      <w:lvlText w:val=""/>
      <w:lvlJc w:val="left"/>
      <w:pPr>
        <w:tabs>
          <w:tab w:val="num" w:pos="2160"/>
        </w:tabs>
        <w:ind w:left="2160" w:hanging="360"/>
      </w:pPr>
      <w:rPr>
        <w:rFonts w:ascii="Wingdings" w:hAnsi="Wingdings" w:hint="default"/>
      </w:rPr>
    </w:lvl>
    <w:lvl w:ilvl="3" w:tplc="B796713E" w:tentative="1">
      <w:start w:val="1"/>
      <w:numFmt w:val="bullet"/>
      <w:lvlText w:val=""/>
      <w:lvlJc w:val="left"/>
      <w:pPr>
        <w:tabs>
          <w:tab w:val="num" w:pos="2880"/>
        </w:tabs>
        <w:ind w:left="2880" w:hanging="360"/>
      </w:pPr>
      <w:rPr>
        <w:rFonts w:ascii="Wingdings" w:hAnsi="Wingdings" w:hint="default"/>
      </w:rPr>
    </w:lvl>
    <w:lvl w:ilvl="4" w:tplc="F62A49D4" w:tentative="1">
      <w:start w:val="1"/>
      <w:numFmt w:val="bullet"/>
      <w:lvlText w:val=""/>
      <w:lvlJc w:val="left"/>
      <w:pPr>
        <w:tabs>
          <w:tab w:val="num" w:pos="3600"/>
        </w:tabs>
        <w:ind w:left="3600" w:hanging="360"/>
      </w:pPr>
      <w:rPr>
        <w:rFonts w:ascii="Wingdings" w:hAnsi="Wingdings" w:hint="default"/>
      </w:rPr>
    </w:lvl>
    <w:lvl w:ilvl="5" w:tplc="DA34C0BC" w:tentative="1">
      <w:start w:val="1"/>
      <w:numFmt w:val="bullet"/>
      <w:lvlText w:val=""/>
      <w:lvlJc w:val="left"/>
      <w:pPr>
        <w:tabs>
          <w:tab w:val="num" w:pos="4320"/>
        </w:tabs>
        <w:ind w:left="4320" w:hanging="360"/>
      </w:pPr>
      <w:rPr>
        <w:rFonts w:ascii="Wingdings" w:hAnsi="Wingdings" w:hint="default"/>
      </w:rPr>
    </w:lvl>
    <w:lvl w:ilvl="6" w:tplc="6CFC7522" w:tentative="1">
      <w:start w:val="1"/>
      <w:numFmt w:val="bullet"/>
      <w:lvlText w:val=""/>
      <w:lvlJc w:val="left"/>
      <w:pPr>
        <w:tabs>
          <w:tab w:val="num" w:pos="5040"/>
        </w:tabs>
        <w:ind w:left="5040" w:hanging="360"/>
      </w:pPr>
      <w:rPr>
        <w:rFonts w:ascii="Wingdings" w:hAnsi="Wingdings" w:hint="default"/>
      </w:rPr>
    </w:lvl>
    <w:lvl w:ilvl="7" w:tplc="FE0CA87C" w:tentative="1">
      <w:start w:val="1"/>
      <w:numFmt w:val="bullet"/>
      <w:lvlText w:val=""/>
      <w:lvlJc w:val="left"/>
      <w:pPr>
        <w:tabs>
          <w:tab w:val="num" w:pos="5760"/>
        </w:tabs>
        <w:ind w:left="5760" w:hanging="360"/>
      </w:pPr>
      <w:rPr>
        <w:rFonts w:ascii="Wingdings" w:hAnsi="Wingdings" w:hint="default"/>
      </w:rPr>
    </w:lvl>
    <w:lvl w:ilvl="8" w:tplc="15A25A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C6785E"/>
    <w:multiLevelType w:val="hybridMultilevel"/>
    <w:tmpl w:val="3514B306"/>
    <w:lvl w:ilvl="0" w:tplc="58BEDDCA">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5C3ABF"/>
    <w:multiLevelType w:val="hybridMultilevel"/>
    <w:tmpl w:val="E7F432AE"/>
    <w:lvl w:ilvl="0" w:tplc="CE6CA3D4">
      <w:start w:val="1"/>
      <w:numFmt w:val="bullet"/>
      <w:lvlText w:val="-"/>
      <w:lvlJc w:val="left"/>
      <w:pPr>
        <w:tabs>
          <w:tab w:val="num" w:pos="720"/>
        </w:tabs>
        <w:ind w:left="720" w:hanging="360"/>
      </w:pPr>
      <w:rPr>
        <w:rFonts w:ascii="Times New Roman" w:hAnsi="Times New Roman" w:hint="default"/>
      </w:rPr>
    </w:lvl>
    <w:lvl w:ilvl="1" w:tplc="8E8AEB1A">
      <w:start w:val="1"/>
      <w:numFmt w:val="bullet"/>
      <w:lvlText w:val="-"/>
      <w:lvlJc w:val="left"/>
      <w:pPr>
        <w:tabs>
          <w:tab w:val="num" w:pos="1440"/>
        </w:tabs>
        <w:ind w:left="1440" w:hanging="360"/>
      </w:pPr>
      <w:rPr>
        <w:rFonts w:ascii="Times New Roman" w:hAnsi="Times New Roman" w:hint="default"/>
      </w:rPr>
    </w:lvl>
    <w:lvl w:ilvl="2" w:tplc="0492D260" w:tentative="1">
      <w:start w:val="1"/>
      <w:numFmt w:val="bullet"/>
      <w:lvlText w:val="-"/>
      <w:lvlJc w:val="left"/>
      <w:pPr>
        <w:tabs>
          <w:tab w:val="num" w:pos="2160"/>
        </w:tabs>
        <w:ind w:left="2160" w:hanging="360"/>
      </w:pPr>
      <w:rPr>
        <w:rFonts w:ascii="Times New Roman" w:hAnsi="Times New Roman" w:hint="default"/>
      </w:rPr>
    </w:lvl>
    <w:lvl w:ilvl="3" w:tplc="244AAF1A" w:tentative="1">
      <w:start w:val="1"/>
      <w:numFmt w:val="bullet"/>
      <w:lvlText w:val="-"/>
      <w:lvlJc w:val="left"/>
      <w:pPr>
        <w:tabs>
          <w:tab w:val="num" w:pos="2880"/>
        </w:tabs>
        <w:ind w:left="2880" w:hanging="360"/>
      </w:pPr>
      <w:rPr>
        <w:rFonts w:ascii="Times New Roman" w:hAnsi="Times New Roman" w:hint="default"/>
      </w:rPr>
    </w:lvl>
    <w:lvl w:ilvl="4" w:tplc="E80C94A8" w:tentative="1">
      <w:start w:val="1"/>
      <w:numFmt w:val="bullet"/>
      <w:lvlText w:val="-"/>
      <w:lvlJc w:val="left"/>
      <w:pPr>
        <w:tabs>
          <w:tab w:val="num" w:pos="3600"/>
        </w:tabs>
        <w:ind w:left="3600" w:hanging="360"/>
      </w:pPr>
      <w:rPr>
        <w:rFonts w:ascii="Times New Roman" w:hAnsi="Times New Roman" w:hint="default"/>
      </w:rPr>
    </w:lvl>
    <w:lvl w:ilvl="5" w:tplc="569026A2" w:tentative="1">
      <w:start w:val="1"/>
      <w:numFmt w:val="bullet"/>
      <w:lvlText w:val="-"/>
      <w:lvlJc w:val="left"/>
      <w:pPr>
        <w:tabs>
          <w:tab w:val="num" w:pos="4320"/>
        </w:tabs>
        <w:ind w:left="4320" w:hanging="360"/>
      </w:pPr>
      <w:rPr>
        <w:rFonts w:ascii="Times New Roman" w:hAnsi="Times New Roman" w:hint="default"/>
      </w:rPr>
    </w:lvl>
    <w:lvl w:ilvl="6" w:tplc="912E1528" w:tentative="1">
      <w:start w:val="1"/>
      <w:numFmt w:val="bullet"/>
      <w:lvlText w:val="-"/>
      <w:lvlJc w:val="left"/>
      <w:pPr>
        <w:tabs>
          <w:tab w:val="num" w:pos="5040"/>
        </w:tabs>
        <w:ind w:left="5040" w:hanging="360"/>
      </w:pPr>
      <w:rPr>
        <w:rFonts w:ascii="Times New Roman" w:hAnsi="Times New Roman" w:hint="default"/>
      </w:rPr>
    </w:lvl>
    <w:lvl w:ilvl="7" w:tplc="E1369A74" w:tentative="1">
      <w:start w:val="1"/>
      <w:numFmt w:val="bullet"/>
      <w:lvlText w:val="-"/>
      <w:lvlJc w:val="left"/>
      <w:pPr>
        <w:tabs>
          <w:tab w:val="num" w:pos="5760"/>
        </w:tabs>
        <w:ind w:left="5760" w:hanging="360"/>
      </w:pPr>
      <w:rPr>
        <w:rFonts w:ascii="Times New Roman" w:hAnsi="Times New Roman" w:hint="default"/>
      </w:rPr>
    </w:lvl>
    <w:lvl w:ilvl="8" w:tplc="F9CE192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E615046"/>
    <w:multiLevelType w:val="hybridMultilevel"/>
    <w:tmpl w:val="20165D12"/>
    <w:lvl w:ilvl="0" w:tplc="A71E94C8">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1864A2"/>
    <w:multiLevelType w:val="hybridMultilevel"/>
    <w:tmpl w:val="60AC0486"/>
    <w:lvl w:ilvl="0" w:tplc="4B545460">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D725B8"/>
    <w:multiLevelType w:val="hybridMultilevel"/>
    <w:tmpl w:val="BC663460"/>
    <w:lvl w:ilvl="0" w:tplc="01C43670">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C0"/>
    <w:rsid w:val="000742CE"/>
    <w:rsid w:val="000B7E7F"/>
    <w:rsid w:val="00141F5F"/>
    <w:rsid w:val="001B0009"/>
    <w:rsid w:val="001F311A"/>
    <w:rsid w:val="00234FC5"/>
    <w:rsid w:val="00291FFD"/>
    <w:rsid w:val="003068A8"/>
    <w:rsid w:val="003236AA"/>
    <w:rsid w:val="003B0D34"/>
    <w:rsid w:val="003C1021"/>
    <w:rsid w:val="003C514A"/>
    <w:rsid w:val="00402705"/>
    <w:rsid w:val="00427797"/>
    <w:rsid w:val="0044091B"/>
    <w:rsid w:val="00442A9C"/>
    <w:rsid w:val="00455047"/>
    <w:rsid w:val="004624C9"/>
    <w:rsid w:val="004F48A2"/>
    <w:rsid w:val="00503088"/>
    <w:rsid w:val="00556D4B"/>
    <w:rsid w:val="005B017E"/>
    <w:rsid w:val="00652FDC"/>
    <w:rsid w:val="00664A36"/>
    <w:rsid w:val="008741C0"/>
    <w:rsid w:val="0088057D"/>
    <w:rsid w:val="008A6220"/>
    <w:rsid w:val="008B7518"/>
    <w:rsid w:val="008E7273"/>
    <w:rsid w:val="00905338"/>
    <w:rsid w:val="009201DE"/>
    <w:rsid w:val="00990F75"/>
    <w:rsid w:val="009A3A43"/>
    <w:rsid w:val="009D1E88"/>
    <w:rsid w:val="00A0695A"/>
    <w:rsid w:val="00A12D42"/>
    <w:rsid w:val="00A73A25"/>
    <w:rsid w:val="00AA7ED6"/>
    <w:rsid w:val="00B26795"/>
    <w:rsid w:val="00BE1716"/>
    <w:rsid w:val="00C83E63"/>
    <w:rsid w:val="00C948FE"/>
    <w:rsid w:val="00CE499F"/>
    <w:rsid w:val="00D00A73"/>
    <w:rsid w:val="00DF0793"/>
    <w:rsid w:val="00E3545A"/>
    <w:rsid w:val="00E540C9"/>
    <w:rsid w:val="00F22E62"/>
    <w:rsid w:val="00F87991"/>
    <w:rsid w:val="00F92C39"/>
    <w:rsid w:val="00F95B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81BA"/>
  <w15:docId w15:val="{38C3ACE1-43EF-4DBD-B036-DFF3D90C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rianne" w:eastAsiaTheme="minorHAnsi" w:hAnsi="Marianne"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0793"/>
    <w:pPr>
      <w:tabs>
        <w:tab w:val="center" w:pos="4536"/>
        <w:tab w:val="right" w:pos="9072"/>
      </w:tabs>
      <w:spacing w:after="0" w:line="240" w:lineRule="auto"/>
    </w:pPr>
  </w:style>
  <w:style w:type="character" w:customStyle="1" w:styleId="En-tteCar">
    <w:name w:val="En-tête Car"/>
    <w:basedOn w:val="Policepardfaut"/>
    <w:link w:val="En-tte"/>
    <w:uiPriority w:val="99"/>
    <w:rsid w:val="00DF0793"/>
  </w:style>
  <w:style w:type="paragraph" w:styleId="Pieddepage">
    <w:name w:val="footer"/>
    <w:basedOn w:val="Normal"/>
    <w:link w:val="PieddepageCar"/>
    <w:uiPriority w:val="99"/>
    <w:unhideWhenUsed/>
    <w:rsid w:val="00DF07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0793"/>
  </w:style>
  <w:style w:type="table" w:styleId="Grilledutableau">
    <w:name w:val="Table Grid"/>
    <w:basedOn w:val="TableauNormal"/>
    <w:uiPriority w:val="39"/>
    <w:rsid w:val="00291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B7E7F"/>
    <w:pPr>
      <w:ind w:left="720"/>
      <w:contextualSpacing/>
    </w:pPr>
  </w:style>
  <w:style w:type="paragraph" w:styleId="Textedebulles">
    <w:name w:val="Balloon Text"/>
    <w:basedOn w:val="Normal"/>
    <w:link w:val="TextedebullesCar"/>
    <w:uiPriority w:val="99"/>
    <w:semiHidden/>
    <w:unhideWhenUsed/>
    <w:rsid w:val="00556D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6D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1172</Words>
  <Characters>6450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superu</dc:creator>
  <cp:lastModifiedBy>superu</cp:lastModifiedBy>
  <cp:revision>8</cp:revision>
  <dcterms:created xsi:type="dcterms:W3CDTF">2022-08-23T08:32:00Z</dcterms:created>
  <dcterms:modified xsi:type="dcterms:W3CDTF">2022-11-23T10:22:00Z</dcterms:modified>
</cp:coreProperties>
</file>